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52"/>
          <w:szCs w:val="52"/>
        </w:rPr>
      </w:pPr>
      <w:bookmarkStart w:id="0" w:name="_GoBack"/>
      <w:r>
        <w:rPr>
          <w:rFonts w:hint="eastAsia"/>
          <w:b/>
          <w:sz w:val="52"/>
          <w:szCs w:val="52"/>
        </w:rPr>
        <w:t>评分办法</w:t>
      </w:r>
    </w:p>
    <w:bookmarkEnd w:id="0"/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/>
          <w:b/>
          <w:bCs/>
          <w:spacing w:val="20"/>
          <w:sz w:val="28"/>
          <w:szCs w:val="28"/>
        </w:rPr>
      </w:pPr>
    </w:p>
    <w:tbl>
      <w:tblPr>
        <w:tblStyle w:val="3"/>
        <w:tblpPr w:leftFromText="180" w:rightFromText="180" w:vertAnchor="text" w:horzAnchor="page" w:tblpX="1003" w:tblpY="99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560"/>
        <w:gridCol w:w="915"/>
        <w:gridCol w:w="471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评审项目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分数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snapToGrid w:val="0"/>
              <w:spacing w:line="440" w:lineRule="exact"/>
              <w:ind w:left="420" w:leftChars="200" w:firstLine="127" w:firstLineChars="50"/>
              <w:jc w:val="center"/>
              <w:rPr>
                <w:rFonts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评审内容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  <w:t>价格部分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  <w:t>报价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基准价计算：所有有效报价的平均值为基准价</w:t>
            </w:r>
          </w:p>
          <w:p>
            <w:pPr>
              <w:numPr>
                <w:ilvl w:val="0"/>
                <w:numId w:val="1"/>
              </w:numPr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当报价高于基准价时：报价得分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=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基准价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/报价×30</w:t>
            </w:r>
          </w:p>
          <w:p>
            <w:pPr>
              <w:numPr>
                <w:ilvl w:val="0"/>
                <w:numId w:val="1"/>
              </w:numPr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当报价低于基准价时：报价得分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=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报价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/基准价×30</w:t>
            </w:r>
          </w:p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当报价等于基准价时，报价得分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=30</w:t>
            </w:r>
          </w:p>
          <w:p>
            <w:pPr>
              <w:spacing w:line="440" w:lineRule="exact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1609" w:type="dxa"/>
            <w:vMerge w:val="restart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综合部分</w:t>
            </w:r>
          </w:p>
          <w:p>
            <w:pPr>
              <w:snapToGrid w:val="0"/>
              <w:spacing w:line="440" w:lineRule="exact"/>
              <w:ind w:firstLine="126" w:firstLineChars="50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  <w:t>业绩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近三年内承接与本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类似的工程，一项工程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分，最高得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分。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（需提供证明材料）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1609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设计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设计方案合理，灯光效果佳，安装步骤安全可行，多种情况对比打分，最高得35分。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609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ind w:firstLine="126" w:firstLineChars="50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为安装人员购买保险得5分；</w:t>
            </w:r>
          </w:p>
          <w:p>
            <w:pPr>
              <w:numPr>
                <w:ilvl w:val="0"/>
                <w:numId w:val="2"/>
              </w:numPr>
              <w:snapToGrid w:val="0"/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在黄石有固定制作厂房及相关设备的得5分；</w:t>
            </w:r>
          </w:p>
          <w:p>
            <w:pPr>
              <w:numPr>
                <w:ilvl w:val="0"/>
                <w:numId w:val="2"/>
              </w:numPr>
              <w:snapToGrid w:val="0"/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灯和钢结构质保一年且以后有偿维护得5分；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</w:tbl>
    <w:p>
      <w:pPr>
        <w:spacing w:line="440" w:lineRule="exact"/>
        <w:rPr>
          <w:rFonts w:ascii="仿宋" w:hAnsi="仿宋" w:eastAsia="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FFEF20"/>
    <w:multiLevelType w:val="singleLevel"/>
    <w:tmpl w:val="FEFFEF2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538B93"/>
    <w:multiLevelType w:val="singleLevel"/>
    <w:tmpl w:val="4C538B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43F5E"/>
    <w:rsid w:val="20BC640B"/>
    <w:rsid w:val="45747A8D"/>
    <w:rsid w:val="58A43F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2019-01-15T07:53:00Z</dcterms:created>
  <dc:creator>暖暖1390478088</dc:creator>
  <cp:lastModifiedBy>暖暖1390478088</cp:lastModifiedBy>
  <dcterms:modified xsi:type="dcterms:W3CDTF">2019-01-15T07:54:04Z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