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jc w:val="left"/>
        <w:rPr>
          <w:b/>
          <w:sz w:val="24"/>
          <w:szCs w:val="24"/>
        </w:rPr>
      </w:pPr>
      <w:bookmarkStart w:id="0" w:name="_GoBack"/>
      <w:r>
        <w:rPr>
          <w:rFonts w:hint="eastAsia"/>
          <w:b/>
          <w:sz w:val="24"/>
          <w:szCs w:val="24"/>
        </w:rPr>
        <w:t xml:space="preserve">附件1： </w:t>
      </w:r>
      <w:r>
        <w:rPr>
          <w:rFonts w:hint="eastAsia" w:ascii="宋体" w:hAnsi="宋体" w:eastAsia="宋体" w:cs="宋体"/>
          <w:b/>
          <w:sz w:val="24"/>
          <w:szCs w:val="24"/>
        </w:rPr>
        <w:t>评分办法</w:t>
      </w:r>
    </w:p>
    <w:bookmarkEnd w:id="0"/>
    <w:tbl>
      <w:tblPr>
        <w:tblStyle w:val="2"/>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720"/>
        <w:gridCol w:w="839"/>
        <w:gridCol w:w="552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1135" w:type="dxa"/>
            <w:tcBorders>
              <w:top w:val="single" w:color="auto" w:sz="4" w:space="0"/>
              <w:left w:val="single" w:color="auto" w:sz="4" w:space="0"/>
              <w:right w:val="single" w:color="auto" w:sz="4" w:space="0"/>
            </w:tcBorders>
            <w:vAlign w:val="center"/>
          </w:tcPr>
          <w:p>
            <w:pPr>
              <w:spacing w:line="440" w:lineRule="exact"/>
              <w:jc w:val="center"/>
              <w:rPr>
                <w:rFonts w:ascii="宋体" w:hAnsi="宋体" w:eastAsia="宋体" w:cs="Times New Roman"/>
                <w:b/>
                <w:szCs w:val="21"/>
              </w:rPr>
            </w:pPr>
            <w:r>
              <w:rPr>
                <w:rFonts w:hint="eastAsia" w:ascii="宋体" w:hAnsi="宋体" w:eastAsia="宋体" w:cs="Times New Roman"/>
                <w:b/>
                <w:szCs w:val="21"/>
              </w:rPr>
              <w:t>商务标</w:t>
            </w:r>
          </w:p>
          <w:p>
            <w:pPr>
              <w:spacing w:line="440" w:lineRule="exact"/>
              <w:jc w:val="center"/>
              <w:rPr>
                <w:rFonts w:ascii="宋体" w:hAnsi="宋体" w:eastAsia="宋体" w:cs="Times New Roman"/>
                <w:sz w:val="24"/>
                <w:szCs w:val="24"/>
              </w:rPr>
            </w:pPr>
            <w:r>
              <w:rPr>
                <w:rFonts w:hint="eastAsia" w:ascii="宋体" w:hAnsi="宋体" w:eastAsia="宋体" w:cs="Times New Roman"/>
                <w:b/>
                <w:szCs w:val="21"/>
              </w:rPr>
              <w:t>30分</w:t>
            </w:r>
          </w:p>
        </w:tc>
        <w:tc>
          <w:tcPr>
            <w:tcW w:w="7796" w:type="dxa"/>
            <w:gridSpan w:val="4"/>
            <w:tcBorders>
              <w:top w:val="single" w:color="auto" w:sz="4" w:space="0"/>
              <w:left w:val="single" w:color="auto" w:sz="4" w:space="0"/>
              <w:right w:val="single" w:color="auto" w:sz="4" w:space="0"/>
            </w:tcBorders>
            <w:vAlign w:val="center"/>
          </w:tcPr>
          <w:p>
            <w:pPr>
              <w:spacing w:line="440" w:lineRule="exact"/>
              <w:rPr>
                <w:rFonts w:cs="宋体" w:asciiTheme="minorEastAsia" w:hAnsiTheme="minorEastAsia"/>
                <w:szCs w:val="21"/>
              </w:rPr>
            </w:pPr>
            <w:r>
              <w:rPr>
                <w:rFonts w:hint="eastAsia" w:cs="宋体" w:asciiTheme="minorEastAsia" w:hAnsiTheme="minorEastAsia"/>
                <w:szCs w:val="21"/>
              </w:rPr>
              <w:t>1、有效投标报价的确定：</w:t>
            </w:r>
          </w:p>
          <w:p>
            <w:pPr>
              <w:spacing w:line="440" w:lineRule="exact"/>
              <w:rPr>
                <w:rFonts w:cs="Times New Roman" w:asciiTheme="minorEastAsia" w:hAnsiTheme="minorEastAsia"/>
                <w:b/>
                <w:szCs w:val="21"/>
              </w:rPr>
            </w:pPr>
            <w:r>
              <w:rPr>
                <w:rFonts w:hint="eastAsia" w:cs="宋体" w:asciiTheme="minorEastAsia" w:hAnsiTheme="minorEastAsia"/>
                <w:szCs w:val="21"/>
              </w:rPr>
              <w:t>本工程有效投标报价是指投标文件初步评审合格、资格审查合格并满足磋商文件要求的投标人的报价。</w:t>
            </w:r>
          </w:p>
          <w:p>
            <w:pPr>
              <w:spacing w:line="440" w:lineRule="exact"/>
              <w:rPr>
                <w:rFonts w:cs="宋体" w:asciiTheme="minorEastAsia" w:hAnsiTheme="minorEastAsia"/>
                <w:szCs w:val="21"/>
              </w:rPr>
            </w:pPr>
            <w:r>
              <w:rPr>
                <w:rFonts w:hint="eastAsia" w:cs="Times New Roman" w:asciiTheme="minorEastAsia" w:hAnsiTheme="minorEastAsia"/>
                <w:szCs w:val="21"/>
              </w:rPr>
              <w:t>2</w:t>
            </w:r>
            <w:r>
              <w:rPr>
                <w:rFonts w:hint="eastAsia" w:cs="宋体" w:asciiTheme="minorEastAsia" w:hAnsiTheme="minorEastAsia"/>
                <w:szCs w:val="21"/>
              </w:rPr>
              <w:t>、磋商基准价的确定：</w:t>
            </w:r>
          </w:p>
          <w:p>
            <w:pPr>
              <w:spacing w:line="440" w:lineRule="exact"/>
              <w:rPr>
                <w:rFonts w:cs="宋体" w:asciiTheme="minorEastAsia" w:hAnsiTheme="minorEastAsia"/>
                <w:szCs w:val="21"/>
              </w:rPr>
            </w:pPr>
            <w:r>
              <w:rPr>
                <w:rFonts w:hint="eastAsia" w:cs="宋体" w:asciiTheme="minorEastAsia" w:hAnsiTheme="minorEastAsia"/>
                <w:szCs w:val="21"/>
              </w:rPr>
              <w:t>磋商基准价为各有效投标报价中去掉最高和最低报价后的算术平均值。若有效投标报价少于三家（含三家）时，则以所有有效投标报价的算术平均值为磋商基准价。</w:t>
            </w:r>
          </w:p>
          <w:p>
            <w:pPr>
              <w:spacing w:line="440" w:lineRule="exact"/>
              <w:rPr>
                <w:rFonts w:cs="宋体" w:asciiTheme="minorEastAsia" w:hAnsiTheme="minorEastAsia"/>
                <w:szCs w:val="21"/>
              </w:rPr>
            </w:pPr>
            <w:r>
              <w:rPr>
                <w:rFonts w:hint="eastAsia" w:cs="宋体" w:asciiTheme="minorEastAsia" w:hAnsiTheme="minorEastAsia"/>
                <w:szCs w:val="21"/>
              </w:rPr>
              <w:t>3、得分评定标准：</w:t>
            </w:r>
          </w:p>
          <w:p>
            <w:pPr>
              <w:spacing w:line="440" w:lineRule="exact"/>
              <w:rPr>
                <w:rFonts w:cs="宋体" w:asciiTheme="minorEastAsia" w:hAnsiTheme="minorEastAsia"/>
                <w:szCs w:val="21"/>
              </w:rPr>
            </w:pPr>
            <w:r>
              <w:rPr>
                <w:rFonts w:hint="eastAsia" w:cs="宋体" w:asciiTheme="minorEastAsia" w:hAnsiTheme="minorEastAsia"/>
                <w:szCs w:val="21"/>
              </w:rPr>
              <w:t>以评标基准价为基数（Q），投标人投标报价（T）等于基准价的得满分30分。</w:t>
            </w:r>
          </w:p>
          <w:p>
            <w:pPr>
              <w:spacing w:line="440" w:lineRule="exact"/>
              <w:rPr>
                <w:rFonts w:cs="宋体" w:asciiTheme="minorEastAsia" w:hAnsiTheme="minorEastAsia"/>
                <w:szCs w:val="21"/>
              </w:rPr>
            </w:pPr>
            <w:r>
              <w:rPr>
                <w:rFonts w:hint="eastAsia" w:cs="宋体" w:asciiTheme="minorEastAsia" w:hAnsiTheme="minorEastAsia"/>
                <w:szCs w:val="21"/>
              </w:rPr>
              <w:t>每高于基准价1%扣1分：K=30+[（Q-q）/Q]×100×1；</w:t>
            </w:r>
          </w:p>
          <w:p>
            <w:pPr>
              <w:spacing w:line="440" w:lineRule="exact"/>
              <w:rPr>
                <w:rFonts w:cs="宋体" w:asciiTheme="minorEastAsia" w:hAnsiTheme="minorEastAsia"/>
                <w:szCs w:val="21"/>
              </w:rPr>
            </w:pPr>
            <w:r>
              <w:rPr>
                <w:rFonts w:hint="eastAsia" w:cs="宋体" w:asciiTheme="minorEastAsia" w:hAnsiTheme="minorEastAsia"/>
                <w:szCs w:val="21"/>
              </w:rPr>
              <w:t>每低于基准价1%扣1分：K=30-[（Q-q）/Q]×100×1；</w:t>
            </w:r>
          </w:p>
          <w:p>
            <w:pPr>
              <w:spacing w:line="440" w:lineRule="exact"/>
              <w:rPr>
                <w:rFonts w:cs="Times New Roman" w:asciiTheme="minorEastAsia" w:hAnsiTheme="minorEastAsia"/>
                <w:b/>
                <w:szCs w:val="21"/>
              </w:rPr>
            </w:pPr>
            <w:r>
              <w:rPr>
                <w:rFonts w:hint="eastAsia" w:cs="宋体" w:asciiTheme="minorEastAsia" w:hAnsiTheme="minorEastAsia"/>
                <w:szCs w:val="21"/>
              </w:rPr>
              <w:t xml:space="preserve">以上公式中：q--投标报价，Q--评标基准价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 w:hRule="atLeast"/>
        </w:trPr>
        <w:tc>
          <w:tcPr>
            <w:tcW w:w="1135" w:type="dxa"/>
            <w:vMerge w:val="restart"/>
            <w:tcBorders>
              <w:top w:val="single" w:color="auto" w:sz="4" w:space="0"/>
              <w:left w:val="single" w:color="auto" w:sz="4" w:space="0"/>
              <w:right w:val="single" w:color="auto" w:sz="4" w:space="0"/>
            </w:tcBorders>
            <w:vAlign w:val="center"/>
          </w:tcPr>
          <w:p>
            <w:pPr>
              <w:snapToGrid w:val="0"/>
              <w:spacing w:line="440" w:lineRule="exact"/>
              <w:jc w:val="center"/>
              <w:rPr>
                <w:rFonts w:ascii="宋体" w:hAnsi="宋体" w:eastAsia="宋体" w:cs="Times New Roman"/>
                <w:b/>
                <w:bCs/>
                <w:snapToGrid w:val="0"/>
                <w:szCs w:val="21"/>
              </w:rPr>
            </w:pPr>
            <w:r>
              <w:rPr>
                <w:rFonts w:hint="eastAsia" w:ascii="宋体" w:hAnsi="宋体" w:eastAsia="宋体" w:cs="Times New Roman"/>
                <w:b/>
                <w:bCs/>
                <w:snapToGrid w:val="0"/>
                <w:szCs w:val="21"/>
              </w:rPr>
              <w:t>技术标</w:t>
            </w:r>
          </w:p>
          <w:p>
            <w:pPr>
              <w:snapToGrid w:val="0"/>
              <w:spacing w:line="440" w:lineRule="exact"/>
              <w:jc w:val="center"/>
              <w:rPr>
                <w:rFonts w:ascii="宋体" w:hAnsi="宋体" w:eastAsia="宋体" w:cs="Times New Roman"/>
                <w:b/>
                <w:bCs/>
                <w:snapToGrid w:val="0"/>
                <w:sz w:val="24"/>
                <w:szCs w:val="24"/>
              </w:rPr>
            </w:pPr>
            <w:r>
              <w:rPr>
                <w:rFonts w:hint="eastAsia" w:ascii="宋体" w:hAnsi="宋体" w:eastAsia="宋体" w:cs="Times New Roman"/>
                <w:b/>
                <w:bCs/>
                <w:snapToGrid w:val="0"/>
                <w:szCs w:val="21"/>
              </w:rPr>
              <w:t>50分</w:t>
            </w:r>
          </w:p>
        </w:tc>
        <w:tc>
          <w:tcPr>
            <w:tcW w:w="720" w:type="dxa"/>
            <w:vMerge w:val="restart"/>
            <w:tcBorders>
              <w:top w:val="single" w:color="auto" w:sz="4" w:space="0"/>
              <w:left w:val="single" w:color="auto" w:sz="4" w:space="0"/>
              <w:right w:val="single" w:color="auto" w:sz="4" w:space="0"/>
            </w:tcBorders>
            <w:vAlign w:val="center"/>
          </w:tcPr>
          <w:p>
            <w:pPr>
              <w:snapToGrid w:val="0"/>
              <w:spacing w:line="440" w:lineRule="exact"/>
              <w:jc w:val="center"/>
              <w:rPr>
                <w:rFonts w:cs="Times New Roman" w:asciiTheme="minorEastAsia" w:hAnsiTheme="minorEastAsia"/>
                <w:bCs/>
                <w:snapToGrid w:val="0"/>
                <w:szCs w:val="21"/>
              </w:rPr>
            </w:pPr>
            <w:r>
              <w:rPr>
                <w:rFonts w:hint="eastAsia" w:cs="Times New Roman" w:asciiTheme="minorEastAsia" w:hAnsiTheme="minorEastAsia"/>
                <w:bCs/>
                <w:snapToGrid w:val="0"/>
                <w:szCs w:val="21"/>
              </w:rPr>
              <w:t>设</w:t>
            </w:r>
          </w:p>
          <w:p>
            <w:pPr>
              <w:snapToGrid w:val="0"/>
              <w:spacing w:line="440" w:lineRule="exact"/>
              <w:jc w:val="center"/>
              <w:rPr>
                <w:rFonts w:cs="Times New Roman" w:asciiTheme="minorEastAsia" w:hAnsiTheme="minorEastAsia"/>
                <w:bCs/>
                <w:snapToGrid w:val="0"/>
                <w:szCs w:val="21"/>
              </w:rPr>
            </w:pPr>
            <w:r>
              <w:rPr>
                <w:rFonts w:hint="eastAsia" w:cs="Times New Roman" w:asciiTheme="minorEastAsia" w:hAnsiTheme="minorEastAsia"/>
                <w:bCs/>
                <w:snapToGrid w:val="0"/>
                <w:szCs w:val="21"/>
              </w:rPr>
              <w:t>计</w:t>
            </w:r>
          </w:p>
          <w:p>
            <w:pPr>
              <w:snapToGrid w:val="0"/>
              <w:spacing w:line="440" w:lineRule="exact"/>
              <w:jc w:val="center"/>
              <w:rPr>
                <w:rFonts w:cs="Times New Roman" w:asciiTheme="minorEastAsia" w:hAnsiTheme="minorEastAsia"/>
                <w:bCs/>
                <w:snapToGrid w:val="0"/>
                <w:szCs w:val="21"/>
              </w:rPr>
            </w:pPr>
            <w:r>
              <w:rPr>
                <w:rFonts w:hint="eastAsia" w:cs="Times New Roman" w:asciiTheme="minorEastAsia" w:hAnsiTheme="minorEastAsia"/>
                <w:bCs/>
                <w:snapToGrid w:val="0"/>
                <w:szCs w:val="21"/>
              </w:rPr>
              <w:t>方</w:t>
            </w:r>
          </w:p>
          <w:p>
            <w:pPr>
              <w:snapToGrid w:val="0"/>
              <w:spacing w:line="440" w:lineRule="exact"/>
              <w:jc w:val="center"/>
              <w:rPr>
                <w:rFonts w:cs="Times New Roman" w:asciiTheme="minorEastAsia" w:hAnsiTheme="minorEastAsia"/>
                <w:bCs/>
                <w:snapToGrid w:val="0"/>
                <w:szCs w:val="21"/>
              </w:rPr>
            </w:pPr>
            <w:r>
              <w:rPr>
                <w:rFonts w:hint="eastAsia" w:cs="Times New Roman" w:asciiTheme="minorEastAsia" w:hAnsiTheme="minorEastAsia"/>
                <w:bCs/>
                <w:snapToGrid w:val="0"/>
                <w:szCs w:val="21"/>
              </w:rPr>
              <w:t>案</w:t>
            </w:r>
          </w:p>
          <w:p>
            <w:pPr>
              <w:snapToGrid w:val="0"/>
              <w:spacing w:line="440" w:lineRule="exact"/>
              <w:jc w:val="center"/>
              <w:rPr>
                <w:rFonts w:cs="Times New Roman" w:asciiTheme="minorEastAsia" w:hAnsiTheme="minorEastAsia"/>
                <w:bCs/>
                <w:snapToGrid w:val="0"/>
                <w:szCs w:val="21"/>
              </w:rPr>
            </w:pPr>
            <w:r>
              <w:rPr>
                <w:rFonts w:hint="eastAsia" w:cs="Times New Roman" w:asciiTheme="minorEastAsia" w:hAnsiTheme="minorEastAsia"/>
                <w:bCs/>
                <w:snapToGrid w:val="0"/>
                <w:szCs w:val="21"/>
              </w:rPr>
              <w:t>30分</w:t>
            </w: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宋体" w:asciiTheme="minorEastAsia" w:hAnsiTheme="minorEastAsia"/>
                <w:szCs w:val="21"/>
              </w:rPr>
              <w:t xml:space="preserve">设计构思立意准确，实时特征明显，制作工艺先进，艺术感染力强。比较后酌情给分  </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top w:val="single" w:color="auto" w:sz="4" w:space="0"/>
              <w:left w:val="single" w:color="auto" w:sz="4" w:space="0"/>
              <w:right w:val="single" w:color="auto" w:sz="4" w:space="0"/>
            </w:tcBorders>
            <w:vAlign w:val="center"/>
          </w:tcPr>
          <w:p>
            <w:pPr>
              <w:snapToGrid w:val="0"/>
              <w:spacing w:line="440" w:lineRule="exact"/>
              <w:jc w:val="center"/>
              <w:rPr>
                <w:rFonts w:ascii="宋体" w:hAnsi="宋体" w:eastAsia="宋体" w:cs="Times New Roman"/>
                <w:b/>
                <w:b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jc w:val="center"/>
              <w:rPr>
                <w:rFonts w:cs="Times New Roman" w:asciiTheme="minorEastAsia" w:hAnsiTheme="minorEastAsia"/>
                <w:b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宋体" w:asciiTheme="minorEastAsia" w:hAnsiTheme="minorEastAsia"/>
                <w:szCs w:val="21"/>
              </w:rPr>
              <w:t xml:space="preserve">主题、重点、亮点营造突出，视觉新颖，形式多样，且与陈列区内容完美结合。比较后酌情给分 </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top w:val="single" w:color="auto" w:sz="4" w:space="0"/>
              <w:left w:val="single" w:color="auto" w:sz="4" w:space="0"/>
              <w:right w:val="single" w:color="auto" w:sz="4" w:space="0"/>
            </w:tcBorders>
            <w:vAlign w:val="center"/>
          </w:tcPr>
          <w:p>
            <w:pPr>
              <w:snapToGrid w:val="0"/>
              <w:spacing w:line="440" w:lineRule="exact"/>
              <w:jc w:val="center"/>
              <w:rPr>
                <w:rFonts w:ascii="宋体" w:hAnsi="宋体" w:eastAsia="宋体" w:cs="Times New Roman"/>
                <w:b/>
                <w:b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jc w:val="center"/>
              <w:rPr>
                <w:rFonts w:cs="Times New Roman" w:asciiTheme="minorEastAsia" w:hAnsiTheme="minorEastAsia"/>
                <w:b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宋体" w:asciiTheme="minorEastAsia" w:hAnsiTheme="minorEastAsia"/>
                <w:szCs w:val="21"/>
              </w:rPr>
              <w:t xml:space="preserve">总平面布局合理，与周边环境协调，功能区分明确，人流及交通组织合理，各功能房间面积配置合理，满足规范要求。比较后酌情给分 </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top w:val="single" w:color="auto" w:sz="4" w:space="0"/>
              <w:left w:val="single" w:color="auto" w:sz="4" w:space="0"/>
              <w:right w:val="single" w:color="auto" w:sz="4" w:space="0"/>
            </w:tcBorders>
            <w:vAlign w:val="center"/>
          </w:tcPr>
          <w:p>
            <w:pPr>
              <w:snapToGrid w:val="0"/>
              <w:spacing w:line="440" w:lineRule="exact"/>
              <w:jc w:val="center"/>
              <w:rPr>
                <w:rFonts w:ascii="宋体" w:hAnsi="宋体" w:eastAsia="宋体" w:cs="Times New Roman"/>
                <w:b/>
                <w:b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jc w:val="center"/>
              <w:rPr>
                <w:rFonts w:cs="Times New Roman" w:asciiTheme="minorEastAsia" w:hAnsiTheme="minorEastAsia"/>
                <w:b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宋体" w:asciiTheme="minorEastAsia" w:hAnsiTheme="minorEastAsia"/>
                <w:szCs w:val="21"/>
              </w:rPr>
              <w:t xml:space="preserve">科技手段运用先进、合理，观众互动性强。比较后酌情给分 </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top w:val="single" w:color="auto" w:sz="4" w:space="0"/>
              <w:left w:val="single" w:color="auto" w:sz="4" w:space="0"/>
              <w:right w:val="single" w:color="auto" w:sz="4" w:space="0"/>
            </w:tcBorders>
            <w:vAlign w:val="center"/>
          </w:tcPr>
          <w:p>
            <w:pPr>
              <w:snapToGrid w:val="0"/>
              <w:spacing w:line="440" w:lineRule="exact"/>
              <w:jc w:val="center"/>
              <w:rPr>
                <w:rFonts w:ascii="宋体" w:hAnsi="宋体" w:eastAsia="宋体" w:cs="Times New Roman"/>
                <w:b/>
                <w:b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jc w:val="center"/>
              <w:rPr>
                <w:rFonts w:cs="Times New Roman" w:asciiTheme="minorEastAsia" w:hAnsiTheme="minorEastAsia"/>
                <w:b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Times New Roman" w:asciiTheme="minorEastAsia" w:hAnsiTheme="minorEastAsia"/>
                <w:szCs w:val="21"/>
              </w:rPr>
              <w:t>系统设计合理，制作工艺考究、美观大方、质感好，牢固耐用，开启使用方便，符合声、光原理及文物安全和保护的要求。</w:t>
            </w:r>
            <w:r>
              <w:rPr>
                <w:rFonts w:hint="eastAsia" w:cs="宋体" w:asciiTheme="minorEastAsia" w:hAnsiTheme="minorEastAsia"/>
                <w:szCs w:val="21"/>
              </w:rPr>
              <w:t xml:space="preserve">比较后酌情给分 </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top w:val="single" w:color="auto" w:sz="4" w:space="0"/>
              <w:left w:val="single" w:color="auto" w:sz="4" w:space="0"/>
              <w:right w:val="single" w:color="auto" w:sz="4" w:space="0"/>
            </w:tcBorders>
            <w:vAlign w:val="center"/>
          </w:tcPr>
          <w:p>
            <w:pPr>
              <w:snapToGrid w:val="0"/>
              <w:spacing w:line="440" w:lineRule="exact"/>
              <w:jc w:val="center"/>
              <w:rPr>
                <w:rFonts w:ascii="宋体" w:hAnsi="宋体" w:eastAsia="宋体" w:cs="Times New Roman"/>
                <w:b/>
                <w:b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jc w:val="center"/>
              <w:rPr>
                <w:rFonts w:cs="Times New Roman" w:asciiTheme="minorEastAsia" w:hAnsiTheme="minorEastAsia"/>
                <w:b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Times New Roman" w:asciiTheme="minorEastAsia" w:hAnsiTheme="minorEastAsia"/>
                <w:szCs w:val="21"/>
              </w:rPr>
              <w:t>照明系统设计合理，性能好，操作简单，易维护且技术成熟，经久耐用，且满足节能的要求。</w:t>
            </w:r>
            <w:r>
              <w:rPr>
                <w:rFonts w:hint="eastAsia" w:cs="宋体" w:asciiTheme="minorEastAsia" w:hAnsiTheme="minorEastAsia"/>
                <w:szCs w:val="21"/>
              </w:rPr>
              <w:t xml:space="preserve">比较后酌情给分 </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left w:val="single" w:color="auto" w:sz="4" w:space="0"/>
              <w:right w:val="single" w:color="auto" w:sz="4" w:space="0"/>
            </w:tcBorders>
            <w:vAlign w:val="center"/>
          </w:tcPr>
          <w:p>
            <w:pPr>
              <w:snapToGrid w:val="0"/>
              <w:spacing w:line="440" w:lineRule="exact"/>
              <w:ind w:firstLine="482" w:firstLineChars="200"/>
              <w:rPr>
                <w:rFonts w:ascii="宋体" w:hAnsi="宋体" w:eastAsia="宋体" w:cs="Times New Roman"/>
                <w:b/>
                <w:bCs/>
                <w:iCs/>
                <w:snapToGrid w:val="0"/>
                <w:sz w:val="24"/>
                <w:szCs w:val="24"/>
              </w:rPr>
            </w:pPr>
          </w:p>
        </w:tc>
        <w:tc>
          <w:tcPr>
            <w:tcW w:w="720" w:type="dxa"/>
            <w:vMerge w:val="continue"/>
            <w:tcBorders>
              <w:left w:val="single" w:color="auto" w:sz="4" w:space="0"/>
              <w:bottom w:val="single" w:color="auto" w:sz="4" w:space="0"/>
              <w:right w:val="single" w:color="auto" w:sz="4" w:space="0"/>
            </w:tcBorders>
            <w:vAlign w:val="center"/>
          </w:tcPr>
          <w:p>
            <w:pPr>
              <w:snapToGrid w:val="0"/>
              <w:spacing w:line="440" w:lineRule="exact"/>
              <w:jc w:val="center"/>
              <w:rPr>
                <w:rFonts w:cs="Times New Roman" w:asciiTheme="minorEastAsia" w:hAnsiTheme="minorEastAsia"/>
                <w:bCs/>
                <w:i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Times New Roman" w:asciiTheme="minorEastAsia" w:hAnsiTheme="minorEastAsia"/>
                <w:szCs w:val="21"/>
              </w:rPr>
              <w:t>装饰部分选用材料质量满足设计要求及环保要求。</w:t>
            </w:r>
            <w:r>
              <w:rPr>
                <w:rFonts w:hint="eastAsia" w:cs="宋体" w:asciiTheme="minorEastAsia" w:hAnsiTheme="minorEastAsia"/>
                <w:szCs w:val="21"/>
              </w:rPr>
              <w:t xml:space="preserve">比较后酌情给分  </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left w:val="single" w:color="auto" w:sz="4" w:space="0"/>
              <w:right w:val="single" w:color="auto" w:sz="4" w:space="0"/>
            </w:tcBorders>
            <w:vAlign w:val="center"/>
          </w:tcPr>
          <w:p>
            <w:pPr>
              <w:snapToGrid w:val="0"/>
              <w:spacing w:line="440" w:lineRule="exact"/>
              <w:ind w:firstLine="482" w:firstLineChars="200"/>
              <w:rPr>
                <w:rFonts w:ascii="宋体" w:hAnsi="宋体" w:eastAsia="宋体" w:cs="Times New Roman"/>
                <w:b/>
                <w:bCs/>
                <w:iCs/>
                <w:snapToGrid w:val="0"/>
                <w:sz w:val="24"/>
                <w:szCs w:val="24"/>
              </w:rPr>
            </w:pPr>
          </w:p>
        </w:tc>
        <w:tc>
          <w:tcPr>
            <w:tcW w:w="720" w:type="dxa"/>
            <w:vMerge w:val="restart"/>
            <w:tcBorders>
              <w:top w:val="single" w:color="auto" w:sz="4" w:space="0"/>
              <w:left w:val="single" w:color="auto" w:sz="4" w:space="0"/>
              <w:right w:val="single" w:color="auto" w:sz="4" w:space="0"/>
            </w:tcBorders>
            <w:vAlign w:val="center"/>
          </w:tcPr>
          <w:p>
            <w:pPr>
              <w:snapToGrid w:val="0"/>
              <w:spacing w:line="440" w:lineRule="exact"/>
              <w:jc w:val="center"/>
              <w:rPr>
                <w:rFonts w:cs="Times New Roman" w:asciiTheme="minorEastAsia" w:hAnsiTheme="minorEastAsia"/>
                <w:bCs/>
                <w:iCs/>
                <w:snapToGrid w:val="0"/>
                <w:szCs w:val="21"/>
              </w:rPr>
            </w:pPr>
            <w:r>
              <w:rPr>
                <w:rFonts w:hint="eastAsia" w:cs="宋体" w:asciiTheme="minorEastAsia" w:hAnsiTheme="minorEastAsia"/>
                <w:szCs w:val="21"/>
              </w:rPr>
              <w:t>施工组织设计20分</w:t>
            </w:r>
          </w:p>
        </w:tc>
        <w:tc>
          <w:tcPr>
            <w:tcW w:w="6367"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szCs w:val="21"/>
              </w:rPr>
            </w:pPr>
            <w:r>
              <w:rPr>
                <w:rFonts w:hint="eastAsia" w:cs="宋体" w:asciiTheme="minorEastAsia" w:hAnsiTheme="minorEastAsia"/>
                <w:szCs w:val="21"/>
              </w:rPr>
              <w:t>主要施工方法：</w:t>
            </w:r>
            <w:r>
              <w:rPr>
                <w:rFonts w:hint="eastAsia" w:cs="宋体" w:asciiTheme="minorEastAsia" w:hAnsiTheme="minorEastAsia"/>
                <w:kern w:val="0"/>
                <w:szCs w:val="21"/>
              </w:rPr>
              <w:t>对各投标文件施工方案的先进性、可行性、合 理性及难点部位、关键环节的处置措施比较后酌情给分</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left w:val="single" w:color="auto" w:sz="4" w:space="0"/>
              <w:right w:val="single" w:color="auto" w:sz="4" w:space="0"/>
            </w:tcBorders>
            <w:vAlign w:val="center"/>
          </w:tcPr>
          <w:p>
            <w:pPr>
              <w:snapToGrid w:val="0"/>
              <w:spacing w:line="440" w:lineRule="exact"/>
              <w:ind w:firstLine="482" w:firstLineChars="200"/>
              <w:rPr>
                <w:rFonts w:ascii="宋体" w:hAnsi="宋体" w:eastAsia="宋体" w:cs="Times New Roman"/>
                <w:b/>
                <w:bCs/>
                <w:i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rPr>
                <w:rFonts w:cs="Times New Roman" w:asciiTheme="minorEastAsia" w:hAnsiTheme="minorEastAsia"/>
                <w:bCs/>
                <w:i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Cs w:val="21"/>
              </w:rPr>
            </w:pPr>
            <w:r>
              <w:rPr>
                <w:rFonts w:hint="eastAsia" w:cs="宋体" w:asciiTheme="minorEastAsia" w:hAnsiTheme="minorEastAsia"/>
                <w:szCs w:val="21"/>
              </w:rPr>
              <w:t xml:space="preserve">拟投入的主要物资计划，劳动力安排计划合理性、可行性 </w:t>
            </w:r>
            <w:r>
              <w:rPr>
                <w:rFonts w:hint="eastAsia" w:cs="宋体" w:asciiTheme="minorEastAsia" w:hAnsiTheme="minorEastAsia"/>
                <w:kern w:val="0"/>
                <w:szCs w:val="21"/>
              </w:rPr>
              <w:t>酌情给分</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left w:val="single" w:color="auto" w:sz="4" w:space="0"/>
              <w:right w:val="single" w:color="auto" w:sz="4" w:space="0"/>
            </w:tcBorders>
            <w:vAlign w:val="center"/>
          </w:tcPr>
          <w:p>
            <w:pPr>
              <w:snapToGrid w:val="0"/>
              <w:spacing w:line="440" w:lineRule="exact"/>
              <w:ind w:firstLine="482" w:firstLineChars="200"/>
              <w:rPr>
                <w:rFonts w:ascii="宋体" w:hAnsi="宋体" w:eastAsia="宋体" w:cs="Times New Roman"/>
                <w:b/>
                <w:bCs/>
                <w:i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rPr>
                <w:rFonts w:cs="Times New Roman" w:asciiTheme="minorEastAsia" w:hAnsiTheme="minorEastAsia"/>
                <w:bCs/>
                <w:i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szCs w:val="21"/>
              </w:rPr>
            </w:pPr>
            <w:r>
              <w:rPr>
                <w:rFonts w:hint="eastAsia" w:cs="宋体" w:asciiTheme="minorEastAsia" w:hAnsiTheme="minorEastAsia"/>
                <w:szCs w:val="21"/>
              </w:rPr>
              <w:t>确保工程质量的技术组织措施：</w:t>
            </w:r>
            <w:r>
              <w:rPr>
                <w:rFonts w:hint="eastAsia" w:cs="宋体" w:asciiTheme="minorEastAsia" w:hAnsiTheme="minorEastAsia"/>
                <w:kern w:val="0"/>
                <w:szCs w:val="21"/>
              </w:rPr>
              <w:t>评标委员会对各投标文件保证质量措施的可靠性、完善性、合理性比较后酌情给分</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 w:hRule="atLeast"/>
        </w:trPr>
        <w:tc>
          <w:tcPr>
            <w:tcW w:w="1135" w:type="dxa"/>
            <w:vMerge w:val="continue"/>
            <w:tcBorders>
              <w:left w:val="single" w:color="auto" w:sz="4" w:space="0"/>
              <w:right w:val="single" w:color="auto" w:sz="4" w:space="0"/>
            </w:tcBorders>
            <w:vAlign w:val="center"/>
          </w:tcPr>
          <w:p>
            <w:pPr>
              <w:snapToGrid w:val="0"/>
              <w:spacing w:line="440" w:lineRule="exact"/>
              <w:ind w:firstLine="482" w:firstLineChars="200"/>
              <w:rPr>
                <w:rFonts w:ascii="宋体" w:hAnsi="宋体" w:eastAsia="宋体" w:cs="Times New Roman"/>
                <w:b/>
                <w:bCs/>
                <w:iCs/>
                <w:snapToGrid w:val="0"/>
                <w:sz w:val="24"/>
                <w:szCs w:val="24"/>
              </w:rPr>
            </w:pPr>
          </w:p>
        </w:tc>
        <w:tc>
          <w:tcPr>
            <w:tcW w:w="720" w:type="dxa"/>
            <w:vMerge w:val="continue"/>
            <w:tcBorders>
              <w:left w:val="single" w:color="auto" w:sz="4" w:space="0"/>
              <w:right w:val="single" w:color="auto" w:sz="4" w:space="0"/>
            </w:tcBorders>
            <w:vAlign w:val="center"/>
          </w:tcPr>
          <w:p>
            <w:pPr>
              <w:snapToGrid w:val="0"/>
              <w:spacing w:line="440" w:lineRule="exact"/>
              <w:rPr>
                <w:rFonts w:cs="Times New Roman" w:asciiTheme="minorEastAsia" w:hAnsiTheme="minorEastAsia"/>
                <w:bCs/>
                <w:iCs/>
                <w:snapToGrid w:val="0"/>
                <w:szCs w:val="21"/>
              </w:rPr>
            </w:pPr>
          </w:p>
        </w:tc>
        <w:tc>
          <w:tcPr>
            <w:tcW w:w="6367"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szCs w:val="21"/>
              </w:rPr>
            </w:pPr>
            <w:r>
              <w:rPr>
                <w:rFonts w:hint="eastAsia" w:cs="宋体" w:asciiTheme="minorEastAsia" w:hAnsiTheme="minorEastAsia"/>
                <w:szCs w:val="21"/>
              </w:rPr>
              <w:t>确保安全生产的技术组织措施：</w:t>
            </w:r>
            <w:r>
              <w:rPr>
                <w:rFonts w:hint="eastAsia" w:cs="宋体" w:asciiTheme="minorEastAsia" w:hAnsiTheme="minorEastAsia"/>
                <w:kern w:val="0"/>
                <w:szCs w:val="21"/>
              </w:rPr>
              <w:t>评标委员会对各投标文件保证安全措施的可靠性、完善性、合理性比较后酌情给分</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cs="Times New Roman" w:asciiTheme="minorEastAsia" w:hAnsiTheme="minorEastAsia"/>
                <w:bCs/>
                <w:snapToGrid w:val="0"/>
                <w:szCs w:val="21"/>
              </w:rPr>
            </w:pPr>
            <w:r>
              <w:rPr>
                <w:rFonts w:hint="eastAsia" w:cs="Times New Roman" w:asciiTheme="minorEastAsia" w:hAnsiTheme="minorEastAsia"/>
                <w:bCs/>
                <w:snapToGrid w:val="0"/>
                <w:szCs w:val="21"/>
              </w:rPr>
              <w:t>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30" w:hRule="atLeast"/>
        </w:trPr>
        <w:tc>
          <w:tcPr>
            <w:tcW w:w="1135" w:type="dxa"/>
            <w:vMerge w:val="restart"/>
            <w:tcBorders>
              <w:top w:val="single" w:color="auto" w:sz="4" w:space="0"/>
              <w:left w:val="single" w:color="auto" w:sz="4" w:space="0"/>
              <w:right w:val="single" w:color="auto" w:sz="4" w:space="0"/>
            </w:tcBorders>
            <w:vAlign w:val="center"/>
          </w:tcPr>
          <w:p>
            <w:pPr>
              <w:snapToGrid w:val="0"/>
              <w:spacing w:line="440" w:lineRule="exact"/>
              <w:ind w:firstLine="103" w:firstLineChars="49"/>
              <w:rPr>
                <w:rFonts w:ascii="宋体" w:hAnsi="宋体" w:eastAsia="宋体" w:cs="Times New Roman"/>
                <w:b/>
                <w:bCs/>
                <w:iCs/>
                <w:snapToGrid w:val="0"/>
                <w:szCs w:val="21"/>
              </w:rPr>
            </w:pPr>
            <w:r>
              <w:rPr>
                <w:rFonts w:hint="eastAsia" w:ascii="宋体" w:hAnsi="宋体" w:eastAsia="宋体" w:cs="Times New Roman"/>
                <w:b/>
                <w:bCs/>
                <w:iCs/>
                <w:snapToGrid w:val="0"/>
                <w:szCs w:val="21"/>
              </w:rPr>
              <w:t>综合标</w:t>
            </w:r>
          </w:p>
          <w:p>
            <w:pPr>
              <w:snapToGrid w:val="0"/>
              <w:spacing w:line="440" w:lineRule="exact"/>
              <w:jc w:val="center"/>
              <w:rPr>
                <w:rFonts w:ascii="宋体" w:hAnsi="宋体" w:eastAsia="宋体" w:cs="Times New Roman"/>
                <w:b/>
                <w:bCs/>
                <w:iCs/>
                <w:snapToGrid w:val="0"/>
                <w:sz w:val="24"/>
                <w:szCs w:val="24"/>
              </w:rPr>
            </w:pPr>
            <w:r>
              <w:rPr>
                <w:rFonts w:hint="eastAsia" w:ascii="宋体" w:hAnsi="宋体" w:eastAsia="宋体" w:cs="Times New Roman"/>
                <w:b/>
                <w:bCs/>
                <w:iCs/>
                <w:snapToGrid w:val="0"/>
                <w:szCs w:val="21"/>
              </w:rPr>
              <w:t>20分</w:t>
            </w:r>
          </w:p>
        </w:tc>
        <w:tc>
          <w:tcPr>
            <w:tcW w:w="1559" w:type="dxa"/>
            <w:gridSpan w:val="2"/>
            <w:tcBorders>
              <w:top w:val="single" w:color="auto" w:sz="4" w:space="0"/>
              <w:left w:val="single" w:color="auto" w:sz="4" w:space="0"/>
              <w:right w:val="single" w:color="auto" w:sz="4" w:space="0"/>
            </w:tcBorders>
            <w:vAlign w:val="center"/>
          </w:tcPr>
          <w:p>
            <w:pPr>
              <w:jc w:val="center"/>
              <w:rPr>
                <w:rFonts w:cs="宋体" w:asciiTheme="minorEastAsia" w:hAnsiTheme="minorEastAsia"/>
                <w:szCs w:val="21"/>
              </w:rPr>
            </w:pPr>
            <w:r>
              <w:rPr>
                <w:rFonts w:hint="eastAsia" w:cs="宋体" w:asciiTheme="minorEastAsia" w:hAnsiTheme="minorEastAsia"/>
                <w:szCs w:val="21"/>
              </w:rPr>
              <w:t>项目经理</w:t>
            </w:r>
          </w:p>
          <w:p>
            <w:pPr>
              <w:jc w:val="center"/>
              <w:rPr>
                <w:rFonts w:cs="宋体" w:asciiTheme="minorEastAsia" w:hAnsiTheme="minorEastAsia"/>
                <w:szCs w:val="21"/>
              </w:rPr>
            </w:pPr>
            <w:r>
              <w:rPr>
                <w:rFonts w:hint="eastAsia" w:cs="宋体" w:asciiTheme="minorEastAsia" w:hAnsiTheme="minorEastAsia"/>
                <w:szCs w:val="21"/>
              </w:rPr>
              <w:t>3分</w:t>
            </w:r>
          </w:p>
        </w:tc>
        <w:tc>
          <w:tcPr>
            <w:tcW w:w="623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cs="宋体" w:asciiTheme="minorEastAsia" w:hAnsiTheme="minorEastAsia"/>
                <w:szCs w:val="21"/>
              </w:rPr>
            </w:pPr>
            <w:r>
              <w:rPr>
                <w:rFonts w:hint="eastAsia" w:cs="宋体" w:asciiTheme="minorEastAsia" w:hAnsiTheme="minorEastAsia"/>
                <w:szCs w:val="21"/>
              </w:rPr>
              <w:t>项目经理近三年（2016年至今）承担过单项合同金额20万以上装饰装修工程业绩的一份得1分，每提供一项加1分，此项共3分。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1135" w:type="dxa"/>
            <w:vMerge w:val="continue"/>
            <w:tcBorders>
              <w:left w:val="single" w:color="auto" w:sz="4" w:space="0"/>
              <w:right w:val="single" w:color="auto" w:sz="4" w:space="0"/>
            </w:tcBorders>
            <w:vAlign w:val="center"/>
          </w:tcPr>
          <w:p>
            <w:pPr>
              <w:snapToGrid w:val="0"/>
              <w:spacing w:line="440" w:lineRule="exact"/>
              <w:ind w:firstLine="118" w:firstLineChars="49"/>
              <w:rPr>
                <w:rFonts w:ascii="宋体" w:hAnsi="宋体" w:eastAsia="宋体" w:cs="Times New Roman"/>
                <w:b/>
                <w:bCs/>
                <w:iCs/>
                <w:snapToGrid w:val="0"/>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szCs w:val="21"/>
              </w:rPr>
            </w:pPr>
            <w:r>
              <w:rPr>
                <w:rFonts w:hint="eastAsia" w:cs="宋体" w:asciiTheme="minorEastAsia" w:hAnsiTheme="minorEastAsia"/>
                <w:szCs w:val="21"/>
              </w:rPr>
              <w:t>技术负责人</w:t>
            </w:r>
          </w:p>
          <w:p>
            <w:pPr>
              <w:jc w:val="center"/>
              <w:rPr>
                <w:rFonts w:cs="宋体" w:asciiTheme="minorEastAsia" w:hAnsiTheme="minorEastAsia"/>
                <w:szCs w:val="21"/>
              </w:rPr>
            </w:pPr>
            <w:r>
              <w:rPr>
                <w:rFonts w:hint="eastAsia" w:cs="宋体" w:asciiTheme="minorEastAsia" w:hAnsiTheme="minorEastAsia"/>
                <w:szCs w:val="21"/>
              </w:rPr>
              <w:t>2分</w:t>
            </w:r>
          </w:p>
        </w:tc>
        <w:tc>
          <w:tcPr>
            <w:tcW w:w="623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cs="宋体" w:asciiTheme="minorEastAsia" w:hAnsiTheme="minorEastAsia"/>
                <w:szCs w:val="21"/>
              </w:rPr>
            </w:pPr>
            <w:r>
              <w:rPr>
                <w:rFonts w:hint="eastAsia" w:cs="宋体" w:asciiTheme="minorEastAsia" w:hAnsiTheme="minorEastAsia"/>
                <w:szCs w:val="21"/>
              </w:rPr>
              <w:t>具有高级职称得2分，具有中级职称证书的得1分，没有不得分；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1135" w:type="dxa"/>
            <w:vMerge w:val="continue"/>
            <w:tcBorders>
              <w:left w:val="single" w:color="auto" w:sz="4" w:space="0"/>
              <w:right w:val="single" w:color="auto" w:sz="4" w:space="0"/>
            </w:tcBorders>
            <w:vAlign w:val="center"/>
          </w:tcPr>
          <w:p>
            <w:pPr>
              <w:snapToGrid w:val="0"/>
              <w:spacing w:line="440" w:lineRule="exact"/>
              <w:ind w:firstLine="118" w:firstLineChars="49"/>
              <w:rPr>
                <w:rFonts w:ascii="宋体" w:hAnsi="宋体" w:eastAsia="宋体" w:cs="Times New Roman"/>
                <w:b/>
                <w:bCs/>
                <w:iCs/>
                <w:snapToGrid w:val="0"/>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szCs w:val="21"/>
              </w:rPr>
            </w:pPr>
            <w:r>
              <w:rPr>
                <w:rFonts w:hint="eastAsia" w:cs="宋体" w:asciiTheme="minorEastAsia" w:hAnsiTheme="minorEastAsia"/>
                <w:szCs w:val="21"/>
              </w:rPr>
              <w:t>项目管理班子</w:t>
            </w:r>
          </w:p>
          <w:p>
            <w:pPr>
              <w:jc w:val="center"/>
              <w:rPr>
                <w:rFonts w:cs="宋体" w:asciiTheme="minorEastAsia" w:hAnsiTheme="minorEastAsia"/>
                <w:szCs w:val="21"/>
              </w:rPr>
            </w:pPr>
            <w:r>
              <w:rPr>
                <w:rFonts w:hint="eastAsia" w:cs="宋体" w:asciiTheme="minorEastAsia" w:hAnsiTheme="minorEastAsia"/>
                <w:szCs w:val="21"/>
              </w:rPr>
              <w:t>人员构成</w:t>
            </w:r>
          </w:p>
          <w:p>
            <w:pPr>
              <w:jc w:val="center"/>
              <w:rPr>
                <w:rFonts w:cs="宋体" w:asciiTheme="minorEastAsia" w:hAnsiTheme="minorEastAsia"/>
                <w:szCs w:val="21"/>
              </w:rPr>
            </w:pPr>
            <w:r>
              <w:rPr>
                <w:rFonts w:hint="eastAsia" w:cs="宋体" w:asciiTheme="minorEastAsia" w:hAnsiTheme="minorEastAsia"/>
                <w:szCs w:val="21"/>
              </w:rPr>
              <w:t>3分</w:t>
            </w:r>
          </w:p>
        </w:tc>
        <w:tc>
          <w:tcPr>
            <w:tcW w:w="623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cs="宋体" w:asciiTheme="minorEastAsia" w:hAnsiTheme="minorEastAsia"/>
                <w:szCs w:val="21"/>
              </w:rPr>
            </w:pPr>
            <w:r>
              <w:rPr>
                <w:rFonts w:hint="eastAsia" w:cs="宋体" w:asciiTheme="minorEastAsia" w:hAnsiTheme="minorEastAsia"/>
                <w:szCs w:val="21"/>
              </w:rPr>
              <w:t>机构健全、5大员齐备、专业配套、具备相关真实有效的岗位证书 ;主要技术、经济、管理人员素质高、酌情评分该项最高得3分。</w:t>
            </w:r>
          </w:p>
          <w:p>
            <w:pPr>
              <w:spacing w:line="440" w:lineRule="exact"/>
              <w:rPr>
                <w:rFonts w:cs="宋体" w:asciiTheme="minorEastAsia" w:hAnsiTheme="minorEastAsia"/>
                <w:szCs w:val="21"/>
              </w:rPr>
            </w:pPr>
            <w:r>
              <w:rPr>
                <w:rFonts w:hint="eastAsia" w:cs="宋体" w:asciiTheme="minorEastAsia" w:hAnsiTheme="minorEastAsia"/>
                <w:b/>
                <w:szCs w:val="21"/>
              </w:rPr>
              <w:t>需提供投入人员社保证明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1135" w:type="dxa"/>
            <w:vMerge w:val="continue"/>
            <w:tcBorders>
              <w:left w:val="single" w:color="auto" w:sz="4" w:space="0"/>
              <w:right w:val="single" w:color="auto" w:sz="4" w:space="0"/>
            </w:tcBorders>
            <w:vAlign w:val="center"/>
          </w:tcPr>
          <w:p>
            <w:pPr>
              <w:snapToGrid w:val="0"/>
              <w:spacing w:line="440" w:lineRule="exact"/>
              <w:ind w:firstLine="118" w:firstLineChars="49"/>
              <w:rPr>
                <w:rFonts w:ascii="宋体" w:hAnsi="宋体" w:eastAsia="宋体" w:cs="Times New Roman"/>
                <w:b/>
                <w:bCs/>
                <w:iCs/>
                <w:snapToGrid w:val="0"/>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szCs w:val="21"/>
              </w:rPr>
            </w:pPr>
            <w:r>
              <w:rPr>
                <w:rFonts w:hint="eastAsia" w:cs="宋体" w:asciiTheme="minorEastAsia" w:hAnsiTheme="minorEastAsia"/>
                <w:szCs w:val="21"/>
              </w:rPr>
              <w:t>类似项目业绩</w:t>
            </w:r>
          </w:p>
          <w:p>
            <w:pPr>
              <w:jc w:val="center"/>
              <w:rPr>
                <w:rFonts w:cs="宋体" w:asciiTheme="minorEastAsia" w:hAnsiTheme="minorEastAsia"/>
                <w:szCs w:val="21"/>
              </w:rPr>
            </w:pPr>
            <w:r>
              <w:rPr>
                <w:rFonts w:hint="eastAsia" w:cs="宋体" w:asciiTheme="minorEastAsia" w:hAnsiTheme="minorEastAsia"/>
                <w:szCs w:val="21"/>
              </w:rPr>
              <w:t>10分</w:t>
            </w:r>
          </w:p>
        </w:tc>
        <w:tc>
          <w:tcPr>
            <w:tcW w:w="623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cs="宋体" w:asciiTheme="minorEastAsia" w:hAnsiTheme="minorEastAsia"/>
                <w:szCs w:val="21"/>
              </w:rPr>
            </w:pPr>
            <w:r>
              <w:rPr>
                <w:rFonts w:hint="eastAsia" w:cs="宋体" w:asciiTheme="minorEastAsia" w:hAnsiTheme="minorEastAsia"/>
                <w:szCs w:val="21"/>
              </w:rPr>
              <w:t>投标人近3年（2016年至今）以来承担过单项合同金额在20万以上的装饰装修（办公楼、公共场所等）项目工程施工业绩得2分,每增加一项类似业绩加2分，该项最高得10分；</w:t>
            </w:r>
          </w:p>
          <w:p>
            <w:pPr>
              <w:spacing w:line="440" w:lineRule="exact"/>
              <w:rPr>
                <w:rFonts w:cs="宋体" w:asciiTheme="minorEastAsia" w:hAnsiTheme="minorEastAsia"/>
                <w:b/>
                <w:szCs w:val="21"/>
              </w:rPr>
            </w:pPr>
            <w:r>
              <w:rPr>
                <w:rFonts w:hint="eastAsia" w:cs="宋体" w:asciiTheme="minorEastAsia" w:hAnsiTheme="minorEastAsia"/>
                <w:b/>
                <w:szCs w:val="21"/>
              </w:rPr>
              <w:t>需提供施工合同和中标通知书复印件。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1135" w:type="dxa"/>
            <w:vMerge w:val="continue"/>
            <w:tcBorders>
              <w:left w:val="single" w:color="auto" w:sz="4" w:space="0"/>
              <w:right w:val="single" w:color="auto" w:sz="4" w:space="0"/>
            </w:tcBorders>
            <w:vAlign w:val="center"/>
          </w:tcPr>
          <w:p>
            <w:pPr>
              <w:snapToGrid w:val="0"/>
              <w:spacing w:line="440" w:lineRule="exact"/>
              <w:ind w:firstLine="118" w:firstLineChars="49"/>
              <w:rPr>
                <w:rFonts w:ascii="宋体" w:hAnsi="宋体" w:eastAsia="宋体" w:cs="Times New Roman"/>
                <w:b/>
                <w:bCs/>
                <w:iCs/>
                <w:snapToGrid w:val="0"/>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szCs w:val="21"/>
              </w:rPr>
            </w:pPr>
            <w:r>
              <w:rPr>
                <w:rFonts w:hint="eastAsia" w:cs="宋体" w:asciiTheme="minorEastAsia" w:hAnsiTheme="minorEastAsia"/>
                <w:szCs w:val="21"/>
              </w:rPr>
              <w:t>信誉</w:t>
            </w:r>
          </w:p>
          <w:p>
            <w:pPr>
              <w:jc w:val="center"/>
              <w:rPr>
                <w:rFonts w:cs="宋体" w:asciiTheme="minorEastAsia" w:hAnsiTheme="minorEastAsia"/>
                <w:szCs w:val="21"/>
              </w:rPr>
            </w:pPr>
            <w:r>
              <w:rPr>
                <w:rFonts w:hint="eastAsia" w:cs="宋体" w:asciiTheme="minorEastAsia" w:hAnsiTheme="minorEastAsia"/>
                <w:szCs w:val="21"/>
              </w:rPr>
              <w:t>2分</w:t>
            </w:r>
          </w:p>
        </w:tc>
        <w:tc>
          <w:tcPr>
            <w:tcW w:w="623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cs="宋体" w:asciiTheme="minorEastAsia" w:hAnsiTheme="minorEastAsia"/>
                <w:szCs w:val="21"/>
              </w:rPr>
            </w:pPr>
            <w:r>
              <w:rPr>
                <w:rFonts w:hint="eastAsia" w:cs="宋体" w:asciiTheme="minorEastAsia" w:hAnsiTheme="minorEastAsia"/>
                <w:szCs w:val="21"/>
              </w:rPr>
              <w:t>根据《关于在招投标活动中对失信被执行人实施联合惩戒的通知》(法[2016]285号)规定，须通过“信用中国”对投标人进行信用查询，投标人若在“失信惩戒对象查询”名单中的，其本次投标无效，查询结果以开标当天在“信用中国”网站查询结果为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A35FFD"/>
    <w:rsid w:val="06A35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2019-12-31T05:39:00Z</dcterms:created>
  <dc:creator>不养生的老年人</dc:creator>
  <cp:lastModifiedBy>不养生的老年人</cp:lastModifiedBy>
  <dcterms:modified xsi:type="dcterms:W3CDTF">2019-12-31T05:41:58Z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