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rPr>
      </w:pPr>
      <w:r>
        <w:rPr>
          <w:rFonts w:hint="eastAsia"/>
          <w:b/>
          <w:bCs/>
          <w:sz w:val="32"/>
          <w:szCs w:val="32"/>
        </w:rPr>
        <w:t>办公系统软件采购功能清单</w:t>
      </w:r>
      <w:bookmarkStart w:id="0" w:name="_GoBack"/>
      <w:bookmarkEnd w:id="0"/>
    </w:p>
    <w:p/>
    <w:p>
      <w:pPr>
        <w:pStyle w:val="9"/>
        <w:numPr>
          <w:ilvl w:val="0"/>
          <w:numId w:val="0"/>
        </w:numPr>
        <w:ind w:leftChars="0"/>
        <w:rPr>
          <w:rStyle w:val="7"/>
          <w:rFonts w:ascii="仿宋_GB2312" w:eastAsia="仿宋_GB2312" w:cs="Arial"/>
          <w:b/>
          <w:sz w:val="24"/>
        </w:rPr>
      </w:pPr>
      <w:r>
        <w:rPr>
          <w:rStyle w:val="7"/>
          <w:rFonts w:hint="eastAsia" w:ascii="仿宋_GB2312" w:eastAsia="仿宋_GB2312" w:cs="Arial"/>
          <w:b/>
          <w:sz w:val="24"/>
        </w:rPr>
        <w:t>产品功能要求：</w:t>
      </w:r>
    </w:p>
    <w:tbl>
      <w:tblPr>
        <w:tblStyle w:val="6"/>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18"/>
        <w:gridCol w:w="524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center"/>
              <w:rPr>
                <w:rStyle w:val="7"/>
                <w:rFonts w:ascii="仿宋_GB2312" w:eastAsia="仿宋_GB2312" w:cs="Arial"/>
              </w:rPr>
            </w:pPr>
            <w:r>
              <w:rPr>
                <w:rStyle w:val="7"/>
                <w:rFonts w:hint="eastAsia" w:ascii="仿宋_GB2312" w:eastAsia="仿宋_GB2312" w:cs="Arial"/>
              </w:rPr>
              <w:t>序号</w:t>
            </w:r>
          </w:p>
        </w:tc>
        <w:tc>
          <w:tcPr>
            <w:tcW w:w="1418" w:type="dxa"/>
            <w:vAlign w:val="center"/>
          </w:tcPr>
          <w:p>
            <w:pPr>
              <w:autoSpaceDE w:val="0"/>
              <w:autoSpaceDN w:val="0"/>
              <w:adjustRightInd w:val="0"/>
              <w:spacing w:line="360" w:lineRule="auto"/>
              <w:jc w:val="center"/>
              <w:rPr>
                <w:rStyle w:val="7"/>
                <w:rFonts w:ascii="仿宋_GB2312" w:eastAsia="仿宋_GB2312" w:cs="Arial"/>
              </w:rPr>
            </w:pPr>
            <w:r>
              <w:rPr>
                <w:rStyle w:val="7"/>
                <w:rFonts w:hint="eastAsia" w:ascii="仿宋_GB2312" w:eastAsia="仿宋_GB2312" w:cs="Arial"/>
              </w:rPr>
              <w:t>功能模块</w:t>
            </w:r>
          </w:p>
        </w:tc>
        <w:tc>
          <w:tcPr>
            <w:tcW w:w="5244" w:type="dxa"/>
            <w:vAlign w:val="center"/>
          </w:tcPr>
          <w:p>
            <w:pPr>
              <w:autoSpaceDE w:val="0"/>
              <w:autoSpaceDN w:val="0"/>
              <w:adjustRightInd w:val="0"/>
              <w:spacing w:line="360" w:lineRule="auto"/>
              <w:jc w:val="center"/>
              <w:rPr>
                <w:rStyle w:val="7"/>
                <w:rFonts w:ascii="仿宋_GB2312" w:eastAsia="仿宋_GB2312" w:cs="Arial"/>
              </w:rPr>
            </w:pPr>
            <w:r>
              <w:rPr>
                <w:rStyle w:val="7"/>
                <w:rFonts w:hint="eastAsia" w:ascii="仿宋_GB2312" w:eastAsia="仿宋_GB2312" w:cs="Arial"/>
              </w:rPr>
              <w:t>功能要求描述</w:t>
            </w:r>
          </w:p>
        </w:tc>
        <w:tc>
          <w:tcPr>
            <w:tcW w:w="1418" w:type="dxa"/>
            <w:vAlign w:val="center"/>
          </w:tcPr>
          <w:p>
            <w:pPr>
              <w:autoSpaceDE w:val="0"/>
              <w:autoSpaceDN w:val="0"/>
              <w:adjustRightInd w:val="0"/>
              <w:spacing w:line="360" w:lineRule="auto"/>
              <w:jc w:val="center"/>
              <w:rPr>
                <w:rStyle w:val="7"/>
                <w:rFonts w:ascii="仿宋_GB2312" w:eastAsia="仿宋_GB2312" w:cs="Arial"/>
              </w:rPr>
            </w:pPr>
            <w:r>
              <w:rPr>
                <w:rStyle w:val="7"/>
                <w:rFonts w:hint="eastAsia" w:ascii="仿宋_GB2312" w:eastAsia="仿宋_GB2312" w:cs="Aria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1</w:t>
            </w:r>
          </w:p>
        </w:tc>
        <w:tc>
          <w:tcPr>
            <w:tcW w:w="1418" w:type="dxa"/>
            <w:vAlign w:val="center"/>
          </w:tcPr>
          <w:p>
            <w:pPr>
              <w:jc w:val="both"/>
              <w:rPr>
                <w:rStyle w:val="7"/>
                <w:rFonts w:ascii="宋体" w:hAnsi="宋体" w:cs="宋体"/>
              </w:rPr>
            </w:pPr>
            <w:r>
              <w:rPr>
                <w:rStyle w:val="7"/>
                <w:rFonts w:hint="eastAsia" w:ascii="仿宋_GB2312" w:eastAsia="仿宋_GB2312" w:cs="Arial"/>
              </w:rPr>
              <w:t>基础人事</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建立企业组织管理，多维度的组织结构建立，内部岗位体系，上下级的汇报关系，人员信息建立；</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2</w:t>
            </w:r>
          </w:p>
        </w:tc>
        <w:tc>
          <w:tcPr>
            <w:tcW w:w="1418" w:type="dxa"/>
            <w:vAlign w:val="center"/>
          </w:tcPr>
          <w:p>
            <w:pPr>
              <w:jc w:val="both"/>
              <w:rPr>
                <w:rStyle w:val="7"/>
                <w:rFonts w:ascii="宋体" w:hAnsi="宋体" w:cs="宋体"/>
              </w:rPr>
            </w:pPr>
            <w:r>
              <w:rPr>
                <w:rFonts w:ascii="Segoe UI Symbol" w:hAnsi="Segoe UI Symbol" w:cs="Segoe UI Symbol"/>
                <w:sz w:val="20"/>
                <w:szCs w:val="20"/>
                <w:shd w:val="clear" w:color="auto" w:fill="FFFFFF"/>
              </w:rPr>
              <w:t>★</w:t>
            </w:r>
            <w:r>
              <w:rPr>
                <w:rStyle w:val="7"/>
                <w:rFonts w:hint="eastAsia" w:ascii="仿宋_GB2312" w:eastAsia="仿宋_GB2312" w:cs="Arial"/>
              </w:rPr>
              <w:t>门户管理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面向集团企业全员及下属各分子公司的信息门户，可提供建立不同级别的门户，并将信息根据不同的岗位推送工作相关内容。方便集团各层级员工在统一的平台上获得自己需要的信息以及处理业务流程，提供一个标准的、可扩展的应用接入平台，帮助组织快速构建应用；</w:t>
            </w:r>
            <w:r>
              <w:rPr>
                <w:rStyle w:val="7"/>
                <w:rFonts w:hint="eastAsia" w:ascii="仿宋_GB2312" w:eastAsia="仿宋_GB2312" w:cs="Arial"/>
              </w:rPr>
              <w:br w:type="textWrapping"/>
            </w:r>
            <w:r>
              <w:rPr>
                <w:rStyle w:val="7"/>
                <w:rFonts w:hint="eastAsia" w:ascii="仿宋_GB2312" w:eastAsia="仿宋_GB2312" w:cs="Arial"/>
              </w:rPr>
              <w:t>支持集团门户、公司门户、领导门户、职能门户、个人工作门户的配置和管理；支持包括内容和展现外观全方位的个性化配置，支持Logo及整体颜色等样式设置；支持多组织架构，支持多级门户，并可根据不同门户应用的要求分配不同的使用人员，根据不同的管理要求可以设置门户的维护人员，维护人员可以自行调整页面；</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功能模块提供软件产品著作权复印件为准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3</w:t>
            </w:r>
          </w:p>
        </w:tc>
        <w:tc>
          <w:tcPr>
            <w:tcW w:w="1418" w:type="dxa"/>
            <w:vAlign w:val="center"/>
          </w:tcPr>
          <w:p>
            <w:pPr>
              <w:jc w:val="both"/>
              <w:rPr>
                <w:rStyle w:val="7"/>
                <w:rFonts w:ascii="宋体" w:hAnsi="宋体" w:cs="宋体"/>
              </w:rPr>
            </w:pPr>
            <w:r>
              <w:rPr>
                <w:rFonts w:ascii="Segoe UI Symbol" w:hAnsi="Segoe UI Symbol" w:cs="Segoe UI Symbol"/>
                <w:sz w:val="20"/>
                <w:szCs w:val="20"/>
                <w:shd w:val="clear" w:color="auto" w:fill="FFFFFF"/>
              </w:rPr>
              <w:t>★</w:t>
            </w:r>
            <w:r>
              <w:rPr>
                <w:rStyle w:val="7"/>
                <w:rFonts w:hint="eastAsia" w:ascii="仿宋_GB2312" w:eastAsia="仿宋_GB2312" w:cs="Arial"/>
              </w:rPr>
              <w:t>流程管理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建立与规范企业现有的流程管理体系，建立一个流程执行与分析改善的持续管理流程的提升体系；</w:t>
            </w:r>
          </w:p>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提供可视化的流程自定义功能，支持流程根据条件跳转循环、嵌套子流程等复杂流程定义，流程环节在流程实例执行过程中可以根据需要进行更多改变，增加、减少节点；支持固定流程和自由流程；支持退回上一节点、流程转发、节点汇合签署意见等功能，支持流程加签、驳回、委托和转交等功能。流程驳回必须支持根据需要逐级驳回级或者驳回到指定节点。</w:t>
            </w:r>
          </w:p>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提供流程监督、管理功能，流程中各节点处理状态和收阅情况一目了然。</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功能模块提供软件产品著作权复印件为准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4</w:t>
            </w:r>
          </w:p>
        </w:tc>
        <w:tc>
          <w:tcPr>
            <w:tcW w:w="1418" w:type="dxa"/>
            <w:vAlign w:val="center"/>
          </w:tcPr>
          <w:p>
            <w:pPr>
              <w:jc w:val="both"/>
              <w:rPr>
                <w:rStyle w:val="7"/>
                <w:rFonts w:ascii="宋体" w:hAnsi="宋体" w:cs="宋体"/>
              </w:rPr>
            </w:pPr>
            <w:r>
              <w:rPr>
                <w:rStyle w:val="7"/>
                <w:rFonts w:hint="eastAsia" w:ascii="仿宋_GB2312" w:eastAsia="仿宋_GB2312" w:cs="Arial"/>
              </w:rPr>
              <w:t>知识管理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建立企业内部知识文档的积累、分享、利用、创新的知识提升体系。</w:t>
            </w:r>
          </w:p>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实现文档在全集团范围内的共享和传递。“层次化”管理各种文档，将各种文档分门别类进行层次化的目录管理。使用关键字或全文搜索，建立统一的知识文档库，提供知识全生命周期管理，包括知识及流程信息收集整理、知识分类、知识热点、知识发布等</w:t>
            </w:r>
          </w:p>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文档来源包括用户主动提交、专题征集、业务处理过程中的流程信息、会议材料、规章制度、经验总结、项目文档。知识管理需要提供丰富的在线查询功能，包括按目录索引查询、按类型查询、按关键字查询、全文搜索等，方便员工检索和查阅文档。</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5</w:t>
            </w:r>
          </w:p>
        </w:tc>
        <w:tc>
          <w:tcPr>
            <w:tcW w:w="1418" w:type="dxa"/>
            <w:vAlign w:val="center"/>
          </w:tcPr>
          <w:p>
            <w:pPr>
              <w:jc w:val="both"/>
              <w:rPr>
                <w:rStyle w:val="7"/>
                <w:rFonts w:ascii="宋体" w:hAnsi="宋体" w:cs="宋体"/>
              </w:rPr>
            </w:pPr>
            <w:r>
              <w:rPr>
                <w:rStyle w:val="7"/>
                <w:rFonts w:hint="eastAsia" w:ascii="仿宋_GB2312" w:eastAsia="仿宋_GB2312" w:cs="Arial"/>
              </w:rPr>
              <w:t>公文管理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建立企业发文、收文、归档、公文绩效的一体化解决方案。</w:t>
            </w:r>
          </w:p>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满足集团总部及下属成员单位的公文流转的业务需求，公文管理需遵循公文管理规范，实现发文、收文、审批、批办、传阅、公文归档一体化，并针对电子公文特点，提供相应的在线电子用印、流程控制、权限控制和公文版本管理等应用。</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ascii="仿宋_GB2312" w:eastAsia="仿宋_GB2312" w:cs="Arial"/>
              </w:rPr>
              <w:t>6</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日程管理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建立以时间为维度的工作方法，为每一个岗位提供在时间管理方面的方法与工具。</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ascii="仿宋_GB2312" w:eastAsia="仿宋_GB2312" w:cs="Arial"/>
              </w:rPr>
              <w:t>7</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公告管理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建立企业实时的上传下达的信息披露、发布、反馈机制。</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8</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会议管理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从会议的规划、会务的管理，会议决议的执行与反馈，最终的分析与改善的体系。</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9</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车辆管理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建立车辆的申请、使用的管理，车辆的状态管理与汇总分析，帮助企业完善用车体系的系统化管理。</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1</w:t>
            </w:r>
            <w:r>
              <w:rPr>
                <w:rStyle w:val="7"/>
                <w:rFonts w:ascii="仿宋_GB2312" w:eastAsia="仿宋_GB2312" w:cs="Arial"/>
              </w:rPr>
              <w:t>0</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新闻管理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建立企业内部快速的信息分享、发布、及时的传达反馈机制，帮助企业提升内部的企业文化塑造体系。</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1</w:t>
            </w:r>
            <w:r>
              <w:rPr>
                <w:rStyle w:val="7"/>
                <w:rFonts w:ascii="仿宋_GB2312" w:eastAsia="仿宋_GB2312" w:cs="Arial"/>
              </w:rPr>
              <w:t>1</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投票管理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建立企业内部涵盖工作满意度、活动调查、专题调查与反馈的多样化的数据与意见的反馈机制。</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1</w:t>
            </w:r>
            <w:r>
              <w:rPr>
                <w:rStyle w:val="7"/>
                <w:rFonts w:ascii="仿宋_GB2312" w:eastAsia="仿宋_GB2312" w:cs="Arial"/>
              </w:rPr>
              <w:t>2</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邮件管理</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实现通过办公系统可以对内部组织进行收发邮件，并且可以实现外部邮箱集成。</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1</w:t>
            </w:r>
            <w:r>
              <w:rPr>
                <w:rStyle w:val="7"/>
                <w:rFonts w:ascii="仿宋_GB2312" w:eastAsia="仿宋_GB2312" w:cs="Arial"/>
              </w:rPr>
              <w:t>3</w:t>
            </w:r>
          </w:p>
        </w:tc>
        <w:tc>
          <w:tcPr>
            <w:tcW w:w="1418" w:type="dxa"/>
            <w:vAlign w:val="center"/>
          </w:tcPr>
          <w:p>
            <w:pPr>
              <w:jc w:val="both"/>
              <w:rPr>
                <w:rStyle w:val="7"/>
                <w:rFonts w:ascii="宋体" w:hAnsi="宋体" w:cs="宋体"/>
              </w:rPr>
            </w:pPr>
            <w:r>
              <w:rPr>
                <w:rFonts w:ascii="Segoe UI Symbol" w:hAnsi="Segoe UI Symbol" w:cs="Segoe UI Symbol"/>
                <w:sz w:val="20"/>
                <w:szCs w:val="20"/>
                <w:shd w:val="clear" w:color="auto" w:fill="FFFFFF"/>
              </w:rPr>
              <w:t>★</w:t>
            </w:r>
            <w:r>
              <w:rPr>
                <w:rStyle w:val="7"/>
                <w:rFonts w:hint="eastAsia" w:ascii="仿宋_GB2312" w:eastAsia="仿宋_GB2312" w:cs="Arial"/>
              </w:rPr>
              <w:t>工作微博</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通过微博的形式，记录每天的工作情况，实时反馈，可以对微博进行点评提醒。</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功能模块提供软件产品著作权复印件为准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1</w:t>
            </w:r>
            <w:r>
              <w:rPr>
                <w:rStyle w:val="7"/>
                <w:rFonts w:ascii="仿宋_GB2312" w:eastAsia="仿宋_GB2312" w:cs="Arial"/>
              </w:rPr>
              <w:t>4</w:t>
            </w:r>
          </w:p>
        </w:tc>
        <w:tc>
          <w:tcPr>
            <w:tcW w:w="1418" w:type="dxa"/>
            <w:vAlign w:val="center"/>
          </w:tcPr>
          <w:p>
            <w:pPr>
              <w:jc w:val="both"/>
              <w:rPr>
                <w:rStyle w:val="7"/>
                <w:rFonts w:ascii="宋体" w:hAnsi="宋体" w:cs="宋体"/>
              </w:rPr>
            </w:pPr>
            <w:r>
              <w:rPr>
                <w:rStyle w:val="7"/>
                <w:rFonts w:hint="eastAsia" w:ascii="仿宋_GB2312" w:eastAsia="仿宋_GB2312" w:cs="Arial"/>
              </w:rPr>
              <w:t>协作沟通</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建立企业内部之间的快速沟通机制，帮助企业实现多团队成员之间的工作联系与协作。</w:t>
            </w:r>
          </w:p>
        </w:tc>
        <w:tc>
          <w:tcPr>
            <w:tcW w:w="1418" w:type="dxa"/>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ascii="仿宋_GB2312" w:eastAsia="仿宋_GB2312" w:cs="Arial"/>
              </w:rPr>
              <w:t>15</w:t>
            </w:r>
          </w:p>
        </w:tc>
        <w:tc>
          <w:tcPr>
            <w:tcW w:w="1418" w:type="dxa"/>
            <w:vAlign w:val="center"/>
          </w:tcPr>
          <w:p>
            <w:pPr>
              <w:jc w:val="both"/>
              <w:rPr>
                <w:rStyle w:val="7"/>
                <w:rFonts w:ascii="宋体" w:hAnsi="宋体" w:cs="宋体"/>
              </w:rPr>
            </w:pPr>
            <w:r>
              <w:rPr>
                <w:rStyle w:val="7"/>
                <w:rFonts w:hint="eastAsia" w:ascii="仿宋_GB2312" w:eastAsia="仿宋_GB2312" w:cs="Arial"/>
              </w:rPr>
              <w:t>即时通讯</w:t>
            </w:r>
          </w:p>
        </w:tc>
        <w:tc>
          <w:tcPr>
            <w:tcW w:w="5244" w:type="dxa"/>
            <w:vAlign w:val="center"/>
          </w:tcPr>
          <w:p>
            <w:pPr>
              <w:spacing w:line="360" w:lineRule="auto"/>
              <w:jc w:val="both"/>
              <w:rPr>
                <w:rStyle w:val="7"/>
                <w:rFonts w:ascii="仿宋_GB2312" w:eastAsia="仿宋_GB2312" w:cs="Arial"/>
              </w:rPr>
            </w:pPr>
            <w:r>
              <w:rPr>
                <w:rStyle w:val="7"/>
                <w:rFonts w:hint="eastAsia" w:ascii="仿宋_GB2312" w:eastAsia="仿宋_GB2312" w:cs="Arial"/>
              </w:rPr>
              <w:t>企业内部QQ，作为内部的沟通工具，可建群组、可推送相关审批流程，并且可以聊天关联流程、文档、项目、会议等信息 ；</w:t>
            </w:r>
          </w:p>
        </w:tc>
        <w:tc>
          <w:tcPr>
            <w:tcW w:w="1418" w:type="dxa"/>
            <w:vAlign w:val="center"/>
          </w:tcPr>
          <w:p>
            <w:pPr>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autoSpaceDE w:val="0"/>
              <w:autoSpaceDN w:val="0"/>
              <w:adjustRightInd w:val="0"/>
              <w:spacing w:line="360" w:lineRule="auto"/>
              <w:jc w:val="both"/>
              <w:rPr>
                <w:rStyle w:val="7"/>
                <w:rFonts w:ascii="仿宋_GB2312" w:eastAsia="仿宋_GB2312" w:cs="Arial"/>
              </w:rPr>
            </w:pPr>
            <w:r>
              <w:rPr>
                <w:rStyle w:val="7"/>
                <w:rFonts w:ascii="仿宋_GB2312" w:eastAsia="仿宋_GB2312" w:cs="Arial"/>
              </w:rPr>
              <w:t>16</w:t>
            </w:r>
          </w:p>
        </w:tc>
        <w:tc>
          <w:tcPr>
            <w:tcW w:w="1418" w:type="dxa"/>
            <w:vAlign w:val="center"/>
          </w:tcPr>
          <w:p>
            <w:pPr>
              <w:jc w:val="both"/>
              <w:rPr>
                <w:rStyle w:val="7"/>
                <w:rFonts w:ascii="宋体" w:hAnsi="宋体" w:cs="宋体"/>
              </w:rPr>
            </w:pPr>
            <w:r>
              <w:rPr>
                <w:rFonts w:ascii="Segoe UI Symbol" w:hAnsi="Segoe UI Symbol" w:cs="Segoe UI Symbol"/>
                <w:sz w:val="20"/>
                <w:szCs w:val="20"/>
                <w:shd w:val="clear" w:color="auto" w:fill="FFFFFF"/>
              </w:rPr>
              <w:t>★</w:t>
            </w:r>
            <w:r>
              <w:rPr>
                <w:rStyle w:val="7"/>
                <w:rFonts w:hint="eastAsia" w:ascii="仿宋_GB2312" w:eastAsia="仿宋_GB2312" w:cs="Arial"/>
              </w:rPr>
              <w:t>移动办公</w:t>
            </w:r>
          </w:p>
        </w:tc>
        <w:tc>
          <w:tcPr>
            <w:tcW w:w="5244"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为企业提供灵活、实时互联的工作处理方式，打破时间与空间的限制，快速实现工作的实时处理。</w:t>
            </w:r>
          </w:p>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充分利用智能终端设备，实现灵活、实时随地移动快捷的工作处理，实现桌面协同办公功能的全面移动化,具备独立的客户端应用，支持移动报表集成组件，支持移动端个性化业务应用配置。</w:t>
            </w:r>
          </w:p>
        </w:tc>
        <w:tc>
          <w:tcPr>
            <w:tcW w:w="1418" w:type="dxa"/>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功能模块提供软件产品著作权复印件为准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79" w:type="dxa"/>
            <w:gridSpan w:val="3"/>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扩展应用</w:t>
            </w:r>
          </w:p>
        </w:tc>
        <w:tc>
          <w:tcPr>
            <w:tcW w:w="1418" w:type="dxa"/>
            <w:shd w:val="clear" w:color="auto" w:fill="FFFFFF"/>
            <w:vAlign w:val="center"/>
          </w:tcPr>
          <w:p>
            <w:pPr>
              <w:autoSpaceDE w:val="0"/>
              <w:autoSpaceDN w:val="0"/>
              <w:adjustRightInd w:val="0"/>
              <w:spacing w:line="360" w:lineRule="auto"/>
              <w:jc w:val="both"/>
              <w:rPr>
                <w:rStyle w:val="7"/>
                <w:rFonts w:ascii="仿宋_GB2312" w:eastAsia="仿宋_GB2312"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ascii="仿宋_GB2312" w:eastAsia="仿宋_GB2312" w:cs="Arial"/>
              </w:rPr>
              <w:t>17</w:t>
            </w:r>
          </w:p>
        </w:tc>
        <w:tc>
          <w:tcPr>
            <w:tcW w:w="1418" w:type="dxa"/>
            <w:shd w:val="clear" w:color="auto" w:fill="FFFFFF"/>
            <w:vAlign w:val="center"/>
          </w:tcPr>
          <w:p>
            <w:pPr>
              <w:jc w:val="both"/>
              <w:rPr>
                <w:rStyle w:val="7"/>
                <w:rFonts w:ascii="宋体" w:hAnsi="宋体" w:cs="宋体"/>
              </w:rPr>
            </w:pPr>
            <w:r>
              <w:rPr>
                <w:rFonts w:ascii="Segoe UI Symbol" w:hAnsi="Segoe UI Symbol" w:cs="Segoe UI Symbol"/>
                <w:sz w:val="20"/>
                <w:szCs w:val="20"/>
                <w:shd w:val="clear" w:color="auto" w:fill="FFFFFF"/>
              </w:rPr>
              <w:t>★</w:t>
            </w:r>
            <w:r>
              <w:rPr>
                <w:rStyle w:val="7"/>
                <w:rFonts w:hint="eastAsia" w:ascii="仿宋_GB2312" w:eastAsia="仿宋_GB2312" w:cs="Arial"/>
              </w:rPr>
              <w:t>合同管理</w:t>
            </w:r>
          </w:p>
        </w:tc>
        <w:tc>
          <w:tcPr>
            <w:tcW w:w="5244"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合同体系：合同分类、合同模板、合同条款；合同执行全过程：起草、审核、会签、确认、合同关联付款信息及关联事项及关联审批流程，合同执行过程中审核与台账，合同明细汇总台账，清晰直观；集中化的合同管理体系，规避企业法务风险。</w:t>
            </w:r>
          </w:p>
        </w:tc>
        <w:tc>
          <w:tcPr>
            <w:tcW w:w="1418"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功能模块提供软件产品著作权复印件为准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ascii="仿宋_GB2312" w:eastAsia="仿宋_GB2312" w:cs="Arial"/>
              </w:rPr>
              <w:t>18</w:t>
            </w:r>
          </w:p>
        </w:tc>
        <w:tc>
          <w:tcPr>
            <w:tcW w:w="1418" w:type="dxa"/>
            <w:shd w:val="clear" w:color="auto" w:fill="FFFFFF"/>
            <w:vAlign w:val="center"/>
          </w:tcPr>
          <w:p>
            <w:pPr>
              <w:jc w:val="both"/>
              <w:rPr>
                <w:rStyle w:val="7"/>
                <w:rFonts w:ascii="宋体" w:hAnsi="宋体" w:cs="宋体"/>
              </w:rPr>
            </w:pPr>
            <w:r>
              <w:rPr>
                <w:rFonts w:ascii="Segoe UI Symbol" w:hAnsi="Segoe UI Symbol" w:cs="Segoe UI Symbol"/>
                <w:sz w:val="20"/>
                <w:szCs w:val="20"/>
                <w:shd w:val="clear" w:color="auto" w:fill="FFFFFF"/>
              </w:rPr>
              <w:t>★</w:t>
            </w:r>
            <w:r>
              <w:rPr>
                <w:rStyle w:val="7"/>
                <w:rFonts w:hint="eastAsia" w:ascii="仿宋_GB2312" w:eastAsia="仿宋_GB2312" w:cs="Arial"/>
              </w:rPr>
              <w:t>项目管理</w:t>
            </w:r>
          </w:p>
        </w:tc>
        <w:tc>
          <w:tcPr>
            <w:tcW w:w="5244"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投资项目管理，对项目的整个生命周期，从立项、计划、执行、控制到结束的管理，对项目状态（执行、正常、延期、冻结等）进行管理</w:t>
            </w:r>
          </w:p>
        </w:tc>
        <w:tc>
          <w:tcPr>
            <w:tcW w:w="1418"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功能模块提供软件产品著作权复印件为准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1</w:t>
            </w:r>
            <w:r>
              <w:rPr>
                <w:rStyle w:val="7"/>
                <w:rFonts w:ascii="仿宋_GB2312" w:eastAsia="仿宋_GB2312" w:cs="Arial"/>
              </w:rPr>
              <w:t>9</w:t>
            </w:r>
          </w:p>
        </w:tc>
        <w:tc>
          <w:tcPr>
            <w:tcW w:w="1418" w:type="dxa"/>
            <w:shd w:val="clear" w:color="auto" w:fill="FFFFFF"/>
            <w:vAlign w:val="center"/>
          </w:tcPr>
          <w:p>
            <w:pPr>
              <w:jc w:val="both"/>
              <w:rPr>
                <w:rStyle w:val="7"/>
                <w:rFonts w:ascii="宋体" w:hAnsi="宋体" w:cs="宋体"/>
              </w:rPr>
            </w:pPr>
            <w:r>
              <w:rPr>
                <w:rFonts w:ascii="Segoe UI Symbol" w:hAnsi="Segoe UI Symbol" w:cs="Segoe UI Symbol"/>
                <w:sz w:val="20"/>
                <w:szCs w:val="20"/>
                <w:shd w:val="clear" w:color="auto" w:fill="FFFFFF"/>
              </w:rPr>
              <w:t>★</w:t>
            </w:r>
            <w:r>
              <w:rPr>
                <w:rStyle w:val="7"/>
                <w:rFonts w:hint="eastAsia" w:ascii="仿宋_GB2312" w:eastAsia="仿宋_GB2312" w:cs="Arial"/>
              </w:rPr>
              <w:t>资产管理</w:t>
            </w:r>
          </w:p>
        </w:tc>
        <w:tc>
          <w:tcPr>
            <w:tcW w:w="5244"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建立企业办公类资产的卡片，资产申请、领用、调拨、减损、报废以及汇总统计的整个资产生命周期的管理；</w:t>
            </w:r>
          </w:p>
        </w:tc>
        <w:tc>
          <w:tcPr>
            <w:tcW w:w="1418"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功能模块提供软件产品著作权复印件为准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ascii="仿宋_GB2312" w:eastAsia="仿宋_GB2312" w:cs="Arial"/>
              </w:rPr>
              <w:t>20</w:t>
            </w:r>
          </w:p>
        </w:tc>
        <w:tc>
          <w:tcPr>
            <w:tcW w:w="1418" w:type="dxa"/>
            <w:shd w:val="clear" w:color="auto" w:fill="FFFFFF"/>
            <w:vAlign w:val="center"/>
          </w:tcPr>
          <w:p>
            <w:pPr>
              <w:jc w:val="both"/>
              <w:rPr>
                <w:rStyle w:val="7"/>
                <w:rFonts w:ascii="宋体" w:hAnsi="宋体" w:cs="宋体"/>
              </w:rPr>
            </w:pPr>
            <w:r>
              <w:rPr>
                <w:rStyle w:val="7"/>
                <w:rFonts w:hint="eastAsia" w:ascii="仿宋_GB2312" w:eastAsia="仿宋_GB2312" w:cs="Arial"/>
              </w:rPr>
              <w:t>集成引擎</w:t>
            </w:r>
          </w:p>
        </w:tc>
        <w:tc>
          <w:tcPr>
            <w:tcW w:w="5244" w:type="dxa"/>
            <w:shd w:val="clear" w:color="auto" w:fill="FFFFFF"/>
            <w:vAlign w:val="center"/>
          </w:tcPr>
          <w:p>
            <w:pPr>
              <w:autoSpaceDE w:val="0"/>
              <w:autoSpaceDN w:val="0"/>
              <w:adjustRightInd w:val="0"/>
              <w:spacing w:line="360" w:lineRule="auto"/>
              <w:jc w:val="both"/>
              <w:rPr>
                <w:rStyle w:val="7"/>
                <w:rFonts w:ascii="仿宋_GB2312" w:eastAsia="仿宋_GB2312" w:cs="Arial"/>
              </w:rPr>
            </w:pPr>
            <w:r>
              <w:rPr>
                <w:rStyle w:val="7"/>
                <w:rFonts w:hint="eastAsia" w:ascii="仿宋_GB2312" w:eastAsia="仿宋_GB2312" w:cs="Arial"/>
              </w:rPr>
              <w:t>集成引擎：实现与异构系统（财务管理系统-金蝶）的报销</w:t>
            </w:r>
            <w:r>
              <w:rPr>
                <w:rStyle w:val="7"/>
                <w:rFonts w:ascii="仿宋_GB2312" w:eastAsia="仿宋_GB2312" w:cs="Arial"/>
              </w:rPr>
              <w:t>\</w:t>
            </w:r>
            <w:r>
              <w:rPr>
                <w:rStyle w:val="7"/>
                <w:rFonts w:hint="eastAsia" w:ascii="仿宋_GB2312" w:eastAsia="仿宋_GB2312" w:cs="Arial"/>
              </w:rPr>
              <w:t>付款凭证集成。</w:t>
            </w:r>
          </w:p>
        </w:tc>
        <w:tc>
          <w:tcPr>
            <w:tcW w:w="1418" w:type="dxa"/>
            <w:shd w:val="clear" w:color="auto" w:fill="FFFFFF"/>
            <w:vAlign w:val="center"/>
          </w:tcPr>
          <w:p>
            <w:pPr>
              <w:autoSpaceDE w:val="0"/>
              <w:autoSpaceDN w:val="0"/>
              <w:adjustRightInd w:val="0"/>
              <w:spacing w:line="360" w:lineRule="auto"/>
              <w:jc w:val="both"/>
              <w:rPr>
                <w:rStyle w:val="7"/>
                <w:rFonts w:ascii="仿宋_GB2312" w:eastAsia="仿宋_GB2312" w:cs="Arial"/>
              </w:rPr>
            </w:pPr>
          </w:p>
        </w:tc>
      </w:tr>
    </w:tbl>
    <w:p/>
    <w:p>
      <w:pPr>
        <w:pStyle w:val="8"/>
        <w:widowControl/>
        <w:shd w:val="clear" w:color="auto" w:fill="FFFFFF"/>
        <w:snapToGrid w:val="0"/>
        <w:spacing w:line="500" w:lineRule="exact"/>
        <w:ind w:firstLine="480" w:firstLineChars="200"/>
        <w:rPr>
          <w:rFonts w:ascii="仿宋_GB2312" w:eastAsia="仿宋_GB2312" w:cs="Arial"/>
          <w:sz w:val="24"/>
          <w:szCs w:val="24"/>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Segoe UI Symbol">
    <w:panose1 w:val="020B0502040204020203"/>
    <w:charset w:val="00"/>
    <w:family w:val="swiss"/>
    <w:pitch w:val="default"/>
    <w:sig w:usb0="8000006F" w:usb1="1200FBEF" w:usb2="0004C000" w:usb3="00000000" w:csb0="00000001" w:csb1="40000000"/>
  </w:font>
  <w:font w:name="微软雅黑">
    <w:panose1 w:val="020B0503020204020204"/>
    <w:charset w:val="86"/>
    <w:family w:val="auto"/>
    <w:pitch w:val="default"/>
    <w:sig w:usb0="80000287" w:usb1="280F3C52" w:usb2="00000016" w:usb3="00000000" w:csb0="0004001F"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1DA"/>
    <w:rsid w:val="00007BEE"/>
    <w:rsid w:val="00043E21"/>
    <w:rsid w:val="00165C2A"/>
    <w:rsid w:val="001767F1"/>
    <w:rsid w:val="001C5D07"/>
    <w:rsid w:val="0031589A"/>
    <w:rsid w:val="003A4510"/>
    <w:rsid w:val="005566D1"/>
    <w:rsid w:val="00582228"/>
    <w:rsid w:val="00606B1E"/>
    <w:rsid w:val="006614D5"/>
    <w:rsid w:val="00667E74"/>
    <w:rsid w:val="006F22F9"/>
    <w:rsid w:val="00716F3E"/>
    <w:rsid w:val="00822169"/>
    <w:rsid w:val="008C5D96"/>
    <w:rsid w:val="008F46E4"/>
    <w:rsid w:val="00A5133F"/>
    <w:rsid w:val="00AF5924"/>
    <w:rsid w:val="00B54140"/>
    <w:rsid w:val="00BB287E"/>
    <w:rsid w:val="00C54E11"/>
    <w:rsid w:val="00EB77DA"/>
    <w:rsid w:val="00F231DA"/>
    <w:rsid w:val="00F24285"/>
    <w:rsid w:val="18712A93"/>
    <w:rsid w:val="25964E34"/>
    <w:rsid w:val="64FC45B5"/>
    <w:rsid w:val="654C33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character" w:default="1" w:styleId="5">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1"/>
    <w:unhideWhenUsed/>
    <w:qFormat/>
    <w:uiPriority w:val="99"/>
    <w:pPr>
      <w:widowControl w:val="0"/>
      <w:tabs>
        <w:tab w:val="center" w:pos="4153"/>
        <w:tab w:val="right" w:pos="8306"/>
      </w:tabs>
      <w:snapToGrid w:val="0"/>
    </w:pPr>
    <w:rPr>
      <w:rFonts w:ascii="Times New Roman" w:hAnsi="Times New Roman" w:cs="Times New Roman"/>
      <w:kern w:val="2"/>
      <w:sz w:val="18"/>
      <w:szCs w:val="18"/>
    </w:rPr>
  </w:style>
  <w:style w:type="paragraph" w:styleId="4">
    <w:name w:val="header"/>
    <w:basedOn w:val="1"/>
    <w:link w:val="10"/>
    <w:unhideWhenUsed/>
    <w:qFormat/>
    <w:uiPriority w:val="99"/>
    <w:pPr>
      <w:widowControl w:val="0"/>
      <w:pBdr>
        <w:bottom w:val="single" w:color="auto" w:sz="6" w:space="1"/>
      </w:pBdr>
      <w:tabs>
        <w:tab w:val="center" w:pos="4153"/>
        <w:tab w:val="right" w:pos="8306"/>
      </w:tabs>
      <w:snapToGrid w:val="0"/>
      <w:jc w:val="center"/>
    </w:pPr>
    <w:rPr>
      <w:rFonts w:ascii="Times New Roman" w:hAnsi="Times New Roman" w:cs="Times New Roman"/>
      <w:kern w:val="2"/>
      <w:sz w:val="18"/>
      <w:szCs w:val="18"/>
    </w:rPr>
  </w:style>
  <w:style w:type="character" w:customStyle="1" w:styleId="7">
    <w:name w:val="10"/>
    <w:qFormat/>
    <w:uiPriority w:val="0"/>
    <w:rPr>
      <w:rFonts w:hint="default" w:ascii="Times New Roman" w:hAnsi="Times New Roman" w:cs="Times New Roman"/>
    </w:rPr>
  </w:style>
  <w:style w:type="paragraph" w:customStyle="1" w:styleId="8">
    <w:name w:val="正文_9_0"/>
    <w:basedOn w:val="1"/>
    <w:qFormat/>
    <w:uiPriority w:val="0"/>
    <w:pPr>
      <w:widowControl w:val="0"/>
      <w:jc w:val="both"/>
    </w:pPr>
    <w:rPr>
      <w:rFonts w:ascii="Times New Roman" w:hAnsi="Times New Roman" w:cs="Times New Roman"/>
      <w:kern w:val="2"/>
      <w:sz w:val="21"/>
      <w:szCs w:val="21"/>
    </w:rPr>
  </w:style>
  <w:style w:type="paragraph" w:customStyle="1" w:styleId="9">
    <w:name w:val="List Paragraph"/>
    <w:basedOn w:val="1"/>
    <w:qFormat/>
    <w:uiPriority w:val="34"/>
    <w:pPr>
      <w:widowControl w:val="0"/>
      <w:ind w:firstLine="420" w:firstLineChars="200"/>
      <w:jc w:val="both"/>
    </w:pPr>
    <w:rPr>
      <w:rFonts w:ascii="Times New Roman" w:hAnsi="Times New Roman" w:cs="Times New Roman"/>
      <w:kern w:val="2"/>
      <w:sz w:val="21"/>
    </w:rPr>
  </w:style>
  <w:style w:type="character" w:customStyle="1" w:styleId="10">
    <w:name w:val="页眉 字符"/>
    <w:basedOn w:val="5"/>
    <w:link w:val="4"/>
    <w:qFormat/>
    <w:uiPriority w:val="99"/>
    <w:rPr>
      <w:rFonts w:ascii="Times New Roman" w:hAnsi="Times New Roman" w:eastAsia="宋体" w:cs="Times New Roman"/>
      <w:sz w:val="18"/>
      <w:szCs w:val="18"/>
    </w:rPr>
  </w:style>
  <w:style w:type="character" w:customStyle="1" w:styleId="11">
    <w:name w:val="页脚 字符"/>
    <w:basedOn w:val="5"/>
    <w:link w:val="3"/>
    <w:qFormat/>
    <w:uiPriority w:val="99"/>
    <w:rPr>
      <w:rFonts w:ascii="Times New Roman" w:hAnsi="Times New Roman" w:eastAsia="宋体" w:cs="Times New Roman"/>
      <w:sz w:val="18"/>
      <w:szCs w:val="18"/>
    </w:rPr>
  </w:style>
  <w:style w:type="character" w:customStyle="1" w:styleId="12">
    <w:name w:val="批注框文本 字符"/>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1745</Words>
  <Characters>9947</Characters>
  <Lines>82</Lines>
  <Paragraphs>23</Paragraphs>
  <TotalTime>0</TotalTime>
  <ScaleCrop>false</ScaleCrop>
  <LinksUpToDate>false</LinksUpToDate>
  <CharactersWithSpaces>11669</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2020-04-22T13:54:00Z</dcterms:created>
  <dc:creator>Romance</dc:creator>
  <cp:lastModifiedBy>Administrator</cp:lastModifiedBy>
  <dcterms:modified xsi:type="dcterms:W3CDTF">2020-05-03T06:01:52Z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