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评分办法</w:t>
      </w:r>
    </w:p>
    <w:p>
      <w:pPr>
        <w:adjustRightInd w:val="0"/>
        <w:snapToGrid w:val="0"/>
        <w:spacing w:line="560" w:lineRule="exact"/>
        <w:jc w:val="center"/>
        <w:rPr>
          <w:rFonts w:hint="eastAsia" w:ascii="仿宋_GB2312" w:hAnsi="宋体" w:eastAsia="仿宋_GB2312"/>
          <w:b/>
          <w:bCs/>
          <w:spacing w:val="20"/>
          <w:sz w:val="28"/>
          <w:szCs w:val="28"/>
        </w:rPr>
      </w:pPr>
    </w:p>
    <w:tbl>
      <w:tblPr>
        <w:tblStyle w:val="4"/>
        <w:tblpPr w:leftFromText="180" w:rightFromText="180" w:vertAnchor="text" w:horzAnchor="page" w:tblpX="1003" w:tblpY="99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1560"/>
        <w:gridCol w:w="915"/>
        <w:gridCol w:w="4710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609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w w:val="90"/>
                <w:sz w:val="32"/>
                <w:szCs w:val="32"/>
              </w:rPr>
              <w:t>评审项目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/>
                <w:b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w w:val="90"/>
                <w:sz w:val="32"/>
                <w:szCs w:val="32"/>
              </w:rPr>
              <w:t>项目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w w:val="90"/>
                <w:sz w:val="32"/>
                <w:szCs w:val="32"/>
              </w:rPr>
              <w:t>分数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snapToGrid w:val="0"/>
              <w:spacing w:line="440" w:lineRule="exact"/>
              <w:ind w:left="420" w:leftChars="200" w:firstLine="145" w:firstLineChars="50"/>
              <w:jc w:val="center"/>
              <w:rPr>
                <w:rFonts w:ascii="仿宋" w:hAnsi="仿宋" w:eastAsia="仿宋"/>
                <w:b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w w:val="90"/>
                <w:sz w:val="32"/>
                <w:szCs w:val="32"/>
              </w:rPr>
              <w:t>评审内容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b/>
                <w:w w:val="9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b/>
                <w:w w:val="90"/>
                <w:sz w:val="32"/>
                <w:szCs w:val="3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609" w:type="dxa"/>
            <w:vMerge w:val="restart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综合评分</w:t>
            </w:r>
          </w:p>
          <w:p>
            <w:pPr>
              <w:snapToGrid w:val="0"/>
              <w:spacing w:line="440" w:lineRule="exact"/>
              <w:ind w:firstLine="144" w:firstLineChars="50"/>
              <w:rPr>
                <w:rFonts w:hint="eastAsia" w:ascii="仿宋_GB2312" w:hAnsi="仿宋_GB2312" w:eastAsia="仿宋_GB2312" w:cs="仿宋_GB2312"/>
                <w:w w:val="90"/>
                <w:sz w:val="32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54" w:firstLineChars="15"/>
              <w:jc w:val="center"/>
              <w:rPr>
                <w:rFonts w:hint="eastAsia" w:ascii="仿宋_GB2312" w:hAnsi="仿宋_GB2312" w:eastAsia="仿宋_GB2312" w:cs="仿宋_GB2312"/>
                <w:w w:val="9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业绩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ind w:firstLine="43" w:firstLineChars="15"/>
              <w:jc w:val="center"/>
              <w:rPr>
                <w:rFonts w:hint="default" w:ascii="仿宋_GB2312" w:hAnsi="仿宋_GB2312" w:eastAsia="仿宋_GB2312" w:cs="仿宋_GB2312"/>
                <w:w w:val="9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每项业绩10分，总分不超过20分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5" w:hRule="atLeast"/>
        </w:trPr>
        <w:tc>
          <w:tcPr>
            <w:tcW w:w="1609" w:type="dxa"/>
            <w:vMerge w:val="continue"/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54" w:firstLineChars="15"/>
              <w:jc w:val="center"/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报价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ind w:firstLine="54" w:firstLineChars="15"/>
              <w:jc w:val="center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30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54" w:firstLineChars="15"/>
              <w:jc w:val="left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1、评标基准价的确定：</w:t>
            </w:r>
          </w:p>
          <w:p>
            <w:pPr>
              <w:snapToGrid w:val="0"/>
              <w:spacing w:line="440" w:lineRule="exact"/>
              <w:ind w:firstLine="54" w:firstLineChars="15"/>
              <w:jc w:val="left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所有有效投标报价的算术平均值作为评标基准价。</w:t>
            </w:r>
          </w:p>
          <w:p>
            <w:pPr>
              <w:snapToGrid w:val="0"/>
              <w:spacing w:line="440" w:lineRule="exact"/>
              <w:ind w:firstLine="54" w:firstLineChars="15"/>
              <w:jc w:val="left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2、得分评定标准：</w:t>
            </w:r>
          </w:p>
          <w:p>
            <w:pPr>
              <w:snapToGrid w:val="0"/>
              <w:spacing w:line="440" w:lineRule="exact"/>
              <w:ind w:firstLine="54" w:firstLineChars="15"/>
              <w:jc w:val="left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F＝</w:t>
            </w: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0-（投标人投标报价-评标基准价）÷评标基准价×100×</w:t>
            </w: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（投标报价＞基准价时）</w:t>
            </w:r>
          </w:p>
          <w:p>
            <w:pPr>
              <w:snapToGrid w:val="0"/>
              <w:spacing w:line="440" w:lineRule="exact"/>
              <w:ind w:firstLine="54" w:firstLineChars="15"/>
              <w:jc w:val="left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F＝</w:t>
            </w: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3</w:t>
            </w: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0-（评标基准价-投标人投标报价）÷评标基准价×100×</w:t>
            </w: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 xml:space="preserve"> （投标报价≤基准价时）</w:t>
            </w:r>
          </w:p>
          <w:p>
            <w:pPr>
              <w:snapToGrid w:val="0"/>
              <w:spacing w:line="440" w:lineRule="exact"/>
              <w:ind w:firstLine="54" w:firstLineChars="15"/>
              <w:jc w:val="left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 xml:space="preserve">其中：F≥0。 </w:t>
            </w: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</w:trPr>
        <w:tc>
          <w:tcPr>
            <w:tcW w:w="1609" w:type="dxa"/>
            <w:vMerge w:val="continue"/>
            <w:noWrap w:val="0"/>
            <w:vAlign w:val="center"/>
          </w:tcPr>
          <w:p>
            <w:pPr>
              <w:snapToGrid w:val="0"/>
              <w:spacing w:line="440" w:lineRule="exact"/>
              <w:ind w:firstLine="144" w:firstLineChars="50"/>
              <w:rPr>
                <w:rFonts w:hint="eastAsia" w:ascii="仿宋_GB2312" w:hAnsi="仿宋_GB2312" w:eastAsia="仿宋_GB2312" w:cs="仿宋_GB2312"/>
                <w:w w:val="90"/>
                <w:sz w:val="32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440" w:lineRule="exact"/>
              <w:ind w:firstLine="54" w:firstLineChars="15"/>
              <w:jc w:val="center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服务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snapToGrid w:val="0"/>
              <w:spacing w:line="440" w:lineRule="exact"/>
              <w:ind w:firstLine="54" w:firstLineChars="15"/>
              <w:jc w:val="center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50</w:t>
            </w:r>
          </w:p>
        </w:tc>
        <w:tc>
          <w:tcPr>
            <w:tcW w:w="471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napToGrid w:val="0"/>
              <w:spacing w:line="440" w:lineRule="exact"/>
              <w:jc w:val="left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1.配送方案合理、高效、细致周到，0-10分；</w:t>
            </w:r>
          </w:p>
          <w:p>
            <w:pPr>
              <w:numPr>
                <w:ilvl w:val="0"/>
                <w:numId w:val="0"/>
              </w:numPr>
              <w:snapToGrid w:val="0"/>
              <w:spacing w:line="440" w:lineRule="exact"/>
              <w:jc w:val="left"/>
              <w:rPr>
                <w:rFonts w:hint="default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2.配送人员和车辆卫生、整洁，0-10分；</w:t>
            </w:r>
          </w:p>
          <w:p>
            <w:pPr>
              <w:numPr>
                <w:ilvl w:val="0"/>
                <w:numId w:val="0"/>
              </w:numPr>
              <w:snapToGrid w:val="0"/>
              <w:spacing w:line="440" w:lineRule="exact"/>
              <w:jc w:val="left"/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  <w:t>3.食材卫生健康、品种丰富0-15分；</w:t>
            </w:r>
          </w:p>
          <w:p>
            <w:pPr>
              <w:pStyle w:val="2"/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spacing w:val="2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20"/>
                <w:kern w:val="2"/>
                <w:sz w:val="32"/>
                <w:szCs w:val="32"/>
                <w:lang w:val="en-US" w:eastAsia="zh-CN" w:bidi="ar-SA"/>
              </w:rPr>
              <w:t>4.满足</w:t>
            </w:r>
            <w:r>
              <w:rPr>
                <w:rFonts w:hint="eastAsia" w:ascii="仿宋_GB2312" w:hAnsi="仿宋_GB2312" w:eastAsia="仿宋_GB2312" w:cs="仿宋_GB2312"/>
                <w:spacing w:val="20"/>
                <w:kern w:val="2"/>
                <w:sz w:val="32"/>
                <w:szCs w:val="32"/>
                <w:lang w:val="en-US" w:eastAsia="zh-CN" w:bidi="ar-SA"/>
              </w:rPr>
              <w:t>承诺</w:t>
            </w:r>
            <w:r>
              <w:rPr>
                <w:rFonts w:hint="eastAsia" w:ascii="仿宋_GB2312" w:hAnsi="仿宋_GB2312" w:cs="仿宋_GB2312"/>
                <w:spacing w:val="20"/>
                <w:kern w:val="2"/>
                <w:sz w:val="32"/>
                <w:szCs w:val="32"/>
                <w:lang w:val="en-US" w:eastAsia="zh-CN" w:bidi="ar-SA"/>
              </w:rPr>
              <w:t>得10分，优于承诺内容的</w:t>
            </w:r>
            <w:r>
              <w:rPr>
                <w:rFonts w:hint="eastAsia" w:ascii="仿宋_GB2312" w:hAnsi="仿宋_GB2312" w:eastAsia="仿宋_GB2312" w:cs="仿宋_GB2312"/>
                <w:spacing w:val="20"/>
                <w:kern w:val="2"/>
                <w:sz w:val="32"/>
                <w:szCs w:val="32"/>
                <w:lang w:val="en-US" w:eastAsia="zh-CN" w:bidi="ar-SA"/>
              </w:rPr>
              <w:t>最高得分</w:t>
            </w:r>
            <w:r>
              <w:rPr>
                <w:rFonts w:hint="eastAsia" w:ascii="仿宋_GB2312" w:hAnsi="仿宋_GB2312" w:cs="仿宋_GB2312"/>
                <w:spacing w:val="20"/>
                <w:kern w:val="2"/>
                <w:sz w:val="32"/>
                <w:szCs w:val="32"/>
                <w:lang w:val="en-US" w:eastAsia="zh-CN" w:bidi="ar-SA"/>
              </w:rPr>
              <w:t>15</w:t>
            </w:r>
            <w:r>
              <w:rPr>
                <w:rFonts w:hint="eastAsia" w:ascii="仿宋_GB2312" w:hAnsi="仿宋_GB2312" w:eastAsia="仿宋_GB2312" w:cs="仿宋_GB2312"/>
                <w:spacing w:val="20"/>
                <w:kern w:val="2"/>
                <w:sz w:val="32"/>
                <w:szCs w:val="32"/>
                <w:lang w:val="en-US" w:eastAsia="zh-CN" w:bidi="ar-SA"/>
              </w:rPr>
              <w:t>分</w:t>
            </w:r>
            <w:r>
              <w:rPr>
                <w:rFonts w:hint="eastAsia" w:ascii="仿宋_GB2312" w:hAnsi="仿宋_GB2312" w:cs="仿宋_GB2312"/>
                <w:spacing w:val="20"/>
                <w:kern w:val="2"/>
                <w:sz w:val="32"/>
                <w:szCs w:val="32"/>
                <w:lang w:val="en-US" w:eastAsia="zh-CN" w:bidi="ar-SA"/>
              </w:rPr>
              <w:t>。</w:t>
            </w:r>
          </w:p>
          <w:p>
            <w:pPr>
              <w:snapToGrid w:val="0"/>
              <w:spacing w:line="440" w:lineRule="exact"/>
              <w:ind w:firstLine="54" w:firstLineChars="15"/>
              <w:jc w:val="left"/>
              <w:rPr>
                <w:rFonts w:hint="eastAsia" w:ascii="仿宋_GB2312" w:hAnsi="仿宋_GB2312" w:eastAsia="仿宋_GB2312" w:cs="仿宋_GB2312"/>
                <w:spacing w:val="20"/>
                <w:sz w:val="32"/>
                <w:szCs w:val="32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top"/>
          </w:tcPr>
          <w:p>
            <w:pPr>
              <w:widowControl/>
              <w:spacing w:line="440" w:lineRule="exact"/>
              <w:jc w:val="left"/>
              <w:rPr>
                <w:rFonts w:ascii="宋体" w:hAnsi="宋体"/>
                <w:w w:val="9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B3422"/>
    <w:rsid w:val="5FBB3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 Spacing"/>
    <w:qFormat/>
    <w:uiPriority w:val="1"/>
    <w:pPr>
      <w:adjustRightInd w:val="0"/>
      <w:snapToGrid w:val="0"/>
    </w:pPr>
    <w:rPr>
      <w:rFonts w:ascii="Tahoma" w:hAnsi="Tahoma" w:eastAsia="仿宋_GB2312" w:cs="Times New Roman"/>
      <w:sz w:val="30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2021-01-27T02:39:00Z</dcterms:created>
  <dc:creator>刘羽裳</dc:creator>
  <cp:lastModifiedBy>刘羽裳</cp:lastModifiedBy>
  <dcterms:modified xsi:type="dcterms:W3CDTF">2021-01-27T02:39:56Z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