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jc w:val="center"/>
        <w:rPr>
          <w:rFonts w:hint="eastAsia" w:ascii="宋体" w:hAnsi="宋体" w:eastAsia="宋体" w:cs="宋体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28"/>
          <w:szCs w:val="28"/>
          <w:lang w:val="en-US" w:eastAsia="zh-CN"/>
        </w:rPr>
        <w:t>西塞山风景区入口景观设计和施工图设计项目评分表</w:t>
      </w:r>
    </w:p>
    <w:tbl>
      <w:tblPr>
        <w:tblStyle w:val="4"/>
        <w:tblW w:w="91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1380"/>
        <w:gridCol w:w="720"/>
        <w:gridCol w:w="60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4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Calibri" w:hAnsi="Calibri" w:eastAsia="宋体" w:cs="Times New Roman"/>
                <w:sz w:val="22"/>
                <w:szCs w:val="22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2"/>
              </w:rPr>
              <w:t>评审项目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Calibri" w:hAnsi="Calibri" w:eastAsia="宋体" w:cs="Times New Roman"/>
                <w:sz w:val="22"/>
                <w:szCs w:val="22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2"/>
              </w:rPr>
              <w:t>分配分数</w:t>
            </w:r>
          </w:p>
        </w:tc>
        <w:tc>
          <w:tcPr>
            <w:tcW w:w="60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Calibri" w:hAnsi="Calibri" w:eastAsia="宋体" w:cs="Times New Roman"/>
                <w:sz w:val="22"/>
                <w:szCs w:val="22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2"/>
              </w:rPr>
              <w:t>评分细则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4" w:hRule="atLeast"/>
        </w:trPr>
        <w:tc>
          <w:tcPr>
            <w:tcW w:w="1078" w:type="dxa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126"/>
              <w:textAlignment w:val="auto"/>
              <w:outlineLvl w:val="9"/>
              <w:rPr>
                <w:color w:val="auto"/>
                <w:spacing w:val="-2"/>
                <w:szCs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Calibri" w:hAnsi="Calibri" w:cs="Times New Roman"/>
                <w:color w:val="auto"/>
                <w:sz w:val="24"/>
              </w:rPr>
            </w:pPr>
            <w:r>
              <w:rPr>
                <w:color w:val="auto"/>
                <w:spacing w:val="-2"/>
                <w:szCs w:val="24"/>
              </w:rPr>
              <w:t>价格评审</w:t>
            </w:r>
            <w:r>
              <w:rPr>
                <w:color w:val="auto"/>
                <w:szCs w:val="24"/>
              </w:rPr>
              <w:t xml:space="preserve"> （</w:t>
            </w:r>
            <w:r>
              <w:rPr>
                <w:rFonts w:hint="eastAsia"/>
                <w:color w:val="auto"/>
                <w:szCs w:val="24"/>
                <w:lang w:val="en-US" w:eastAsia="zh-CN"/>
              </w:rPr>
              <w:t>2</w:t>
            </w:r>
            <w:r>
              <w:rPr>
                <w:rFonts w:hint="eastAsia"/>
                <w:color w:val="auto"/>
                <w:szCs w:val="24"/>
                <w:lang w:val="en-US"/>
              </w:rPr>
              <w:t>0</w:t>
            </w:r>
            <w:r>
              <w:rPr>
                <w:color w:val="auto"/>
                <w:spacing w:val="-3"/>
                <w:szCs w:val="24"/>
              </w:rPr>
              <w:t>分）</w:t>
            </w:r>
            <w:r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1380" w:type="dxa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b/>
                <w:color w:val="auto"/>
                <w:sz w:val="21"/>
                <w:szCs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b/>
                <w:color w:val="auto"/>
                <w:sz w:val="21"/>
                <w:szCs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b/>
                <w:color w:val="auto"/>
                <w:sz w:val="21"/>
                <w:szCs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39" w:line="400" w:lineRule="exact"/>
              <w:ind w:right="110"/>
              <w:jc w:val="right"/>
              <w:textAlignment w:val="auto"/>
              <w:outlineLvl w:val="9"/>
              <w:rPr>
                <w:rFonts w:ascii="Calibri" w:hAnsi="Calibri" w:cs="Times New Roman"/>
                <w:color w:val="auto"/>
                <w:sz w:val="24"/>
              </w:rPr>
            </w:pPr>
            <w:r>
              <w:rPr>
                <w:color w:val="auto"/>
                <w:szCs w:val="24"/>
              </w:rPr>
              <w:t xml:space="preserve">投标报价 </w:t>
            </w:r>
          </w:p>
        </w:tc>
        <w:tc>
          <w:tcPr>
            <w:tcW w:w="720" w:type="dxa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b/>
                <w:color w:val="auto"/>
                <w:sz w:val="21"/>
                <w:szCs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b/>
                <w:color w:val="auto"/>
                <w:sz w:val="21"/>
                <w:szCs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b/>
                <w:color w:val="auto"/>
                <w:sz w:val="21"/>
                <w:szCs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39" w:line="400" w:lineRule="exact"/>
              <w:ind w:right="133"/>
              <w:jc w:val="center"/>
              <w:textAlignment w:val="auto"/>
              <w:outlineLvl w:val="9"/>
              <w:rPr>
                <w:rFonts w:ascii="Calibri" w:hAnsi="Calibri" w:cs="Times New Roman"/>
                <w:color w:val="auto"/>
                <w:sz w:val="24"/>
                <w:lang w:val="en-US"/>
              </w:rPr>
            </w:pPr>
            <w:r>
              <w:rPr>
                <w:rFonts w:hint="eastAsia"/>
                <w:color w:val="auto"/>
                <w:szCs w:val="24"/>
                <w:lang w:val="en-US" w:eastAsia="zh-CN"/>
              </w:rPr>
              <w:t>2</w:t>
            </w:r>
            <w:r>
              <w:rPr>
                <w:rFonts w:hint="eastAsia"/>
                <w:color w:val="auto"/>
                <w:szCs w:val="24"/>
                <w:lang w:val="en-US"/>
              </w:rPr>
              <w:t>0</w:t>
            </w:r>
          </w:p>
        </w:tc>
        <w:tc>
          <w:tcPr>
            <w:tcW w:w="6002" w:type="dxa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09" w:line="400" w:lineRule="exact"/>
              <w:ind w:right="280"/>
              <w:jc w:val="both"/>
              <w:textAlignment w:val="auto"/>
              <w:outlineLvl w:val="9"/>
              <w:rPr>
                <w:rFonts w:ascii="Calibri" w:hAnsi="Calibri" w:cs="Times New Roman"/>
                <w:color w:val="auto"/>
                <w:sz w:val="24"/>
              </w:rPr>
            </w:pPr>
            <w:r>
              <w:rPr>
                <w:color w:val="auto"/>
                <w:szCs w:val="24"/>
              </w:rPr>
              <w:t>评标委员会只对符合性检查合格的投标文件进行</w:t>
            </w:r>
            <w:r>
              <w:rPr>
                <w:rFonts w:hint="eastAsia"/>
                <w:color w:val="auto"/>
                <w:szCs w:val="24"/>
                <w:lang w:val="en-US" w:eastAsia="zh-CN"/>
              </w:rPr>
              <w:t>报价</w:t>
            </w:r>
            <w:r>
              <w:rPr>
                <w:color w:val="auto"/>
                <w:szCs w:val="24"/>
              </w:rPr>
              <w:t>评审， 投标报价表上的投标总价为投标</w:t>
            </w:r>
            <w:r>
              <w:rPr>
                <w:rFonts w:hint="eastAsia"/>
                <w:color w:val="auto"/>
                <w:szCs w:val="24"/>
                <w:lang w:val="en-US" w:eastAsia="zh-CN"/>
              </w:rPr>
              <w:t>报价</w:t>
            </w:r>
            <w:r>
              <w:rPr>
                <w:color w:val="auto"/>
                <w:szCs w:val="24"/>
              </w:rPr>
              <w:t>，满足招标文件要求且投标</w:t>
            </w:r>
            <w:r>
              <w:rPr>
                <w:rFonts w:hint="eastAsia"/>
                <w:color w:val="auto"/>
                <w:szCs w:val="24"/>
                <w:lang w:val="en-US" w:eastAsia="zh-CN"/>
              </w:rPr>
              <w:t>报价</w:t>
            </w:r>
            <w:r>
              <w:rPr>
                <w:color w:val="auto"/>
                <w:szCs w:val="24"/>
              </w:rPr>
              <w:t>最低的为评标基准价，其</w:t>
            </w:r>
            <w:r>
              <w:rPr>
                <w:rFonts w:hint="eastAsia"/>
                <w:color w:val="auto"/>
                <w:szCs w:val="24"/>
                <w:lang w:val="en-US" w:eastAsia="zh-CN"/>
              </w:rPr>
              <w:t>报价得</w:t>
            </w:r>
            <w:r>
              <w:rPr>
                <w:color w:val="auto"/>
                <w:szCs w:val="24"/>
              </w:rPr>
              <w:t>分为</w:t>
            </w:r>
            <w:r>
              <w:rPr>
                <w:rFonts w:hint="eastAsia"/>
                <w:color w:val="auto"/>
                <w:szCs w:val="24"/>
                <w:lang w:val="en-US" w:eastAsia="zh-CN"/>
              </w:rPr>
              <w:t>2</w:t>
            </w:r>
            <w:r>
              <w:rPr>
                <w:rFonts w:hint="eastAsia"/>
                <w:color w:val="auto"/>
                <w:szCs w:val="24"/>
                <w:lang w:val="en-US"/>
              </w:rPr>
              <w:t>0</w:t>
            </w:r>
            <w:r>
              <w:rPr>
                <w:color w:val="auto"/>
                <w:szCs w:val="24"/>
              </w:rPr>
              <w:t>分。其他</w:t>
            </w:r>
            <w:r>
              <w:rPr>
                <w:rFonts w:hint="eastAsia"/>
                <w:color w:val="auto"/>
                <w:szCs w:val="24"/>
              </w:rPr>
              <w:t>供应商</w:t>
            </w:r>
            <w:r>
              <w:rPr>
                <w:color w:val="auto"/>
                <w:szCs w:val="24"/>
              </w:rPr>
              <w:t>的</w:t>
            </w:r>
            <w:r>
              <w:rPr>
                <w:rFonts w:hint="eastAsia"/>
                <w:color w:val="auto"/>
                <w:szCs w:val="24"/>
                <w:lang w:val="en-US" w:eastAsia="zh-CN"/>
              </w:rPr>
              <w:t>报价</w:t>
            </w:r>
            <w:r>
              <w:rPr>
                <w:color w:val="auto"/>
                <w:szCs w:val="24"/>
              </w:rPr>
              <w:t>分按照下列公式计算：投标报价得分＝（评标基准价/投标</w:t>
            </w:r>
            <w:r>
              <w:rPr>
                <w:rFonts w:hint="eastAsia"/>
                <w:color w:val="auto"/>
                <w:szCs w:val="24"/>
                <w:lang w:val="en-US" w:eastAsia="zh-CN"/>
              </w:rPr>
              <w:t>报价</w:t>
            </w:r>
            <w:r>
              <w:rPr>
                <w:color w:val="auto"/>
                <w:szCs w:val="24"/>
              </w:rPr>
              <w:t>）×</w:t>
            </w:r>
            <w:r>
              <w:rPr>
                <w:rFonts w:hint="eastAsia"/>
                <w:color w:val="auto"/>
                <w:szCs w:val="24"/>
                <w:lang w:val="en-US" w:eastAsia="zh-CN"/>
              </w:rPr>
              <w:t>2</w:t>
            </w:r>
            <w:r>
              <w:rPr>
                <w:rFonts w:hint="eastAsia"/>
                <w:color w:val="auto"/>
                <w:szCs w:val="24"/>
                <w:lang w:val="en-US"/>
              </w:rPr>
              <w:t>0</w:t>
            </w:r>
            <w:r>
              <w:rPr>
                <w:color w:val="auto"/>
                <w:szCs w:val="24"/>
              </w:rPr>
              <w:t xml:space="preserve">。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7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Calibri" w:hAnsi="Calibri" w:eastAsia="宋体" w:cs="Times New Roman"/>
                <w:color w:val="0000FF"/>
                <w:sz w:val="22"/>
                <w:szCs w:val="2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2"/>
              </w:rPr>
              <w:t>商务部分（</w:t>
            </w:r>
            <w:r>
              <w:rPr>
                <w:rFonts w:hint="eastAsia" w:ascii="Calibri" w:hAnsi="Calibri" w:eastAsia="宋体" w:cs="Times New Roman"/>
                <w:color w:val="auto"/>
                <w:sz w:val="22"/>
                <w:szCs w:val="22"/>
                <w:lang w:val="en-US" w:eastAsia="zh-CN"/>
              </w:rPr>
              <w:t>30</w:t>
            </w:r>
            <w:r>
              <w:rPr>
                <w:rFonts w:hint="eastAsia" w:ascii="Calibri" w:hAnsi="Calibri" w:eastAsia="宋体" w:cs="Times New Roman"/>
                <w:color w:val="auto"/>
                <w:sz w:val="22"/>
                <w:szCs w:val="22"/>
              </w:rPr>
              <w:t>）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Calibri" w:hAnsi="Calibri" w:eastAsia="宋体" w:cs="Times New Roman"/>
                <w:color w:val="auto"/>
                <w:sz w:val="22"/>
                <w:szCs w:val="2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2"/>
                <w:highlight w:val="none"/>
              </w:rPr>
              <w:t>企业业绩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Calibri" w:hAnsi="Calibri" w:eastAsia="宋体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20</w:t>
            </w:r>
          </w:p>
        </w:tc>
        <w:tc>
          <w:tcPr>
            <w:tcW w:w="600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color w:val="auto"/>
                <w:sz w:val="22"/>
                <w:szCs w:val="28"/>
              </w:rPr>
            </w:pPr>
            <w:r>
              <w:rPr>
                <w:rFonts w:hint="eastAsia"/>
                <w:color w:val="auto"/>
                <w:sz w:val="22"/>
                <w:szCs w:val="28"/>
                <w:highlight w:val="none"/>
                <w:lang w:val="en-US" w:eastAsia="zh-CN"/>
              </w:rPr>
              <w:t>近五年（2016年3月至今）完成2项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</w:rPr>
              <w:t>单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  <w:lang w:val="en-US" w:eastAsia="zh-CN"/>
              </w:rPr>
              <w:t>项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</w:rPr>
              <w:t>合同金额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  <w:u w:val="single"/>
                <w:lang w:val="en-US" w:eastAsia="zh-CN"/>
              </w:rPr>
              <w:t>18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  <w:u w:val="single"/>
              </w:rPr>
              <w:t>万元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</w:rPr>
              <w:t>（含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  <w:lang w:val="en-US" w:eastAsia="zh-CN"/>
              </w:rPr>
              <w:t>18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</w:rPr>
              <w:t>万元）及以上的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  <w:lang w:val="en-US" w:eastAsia="zh-CN"/>
              </w:rPr>
              <w:t>相关工程</w:t>
            </w:r>
            <w:r>
              <w:rPr>
                <w:rFonts w:hint="eastAsia" w:ascii="宋体" w:hAnsi="宋体"/>
                <w:bCs/>
                <w:color w:val="auto"/>
                <w:sz w:val="22"/>
                <w:szCs w:val="22"/>
                <w:highlight w:val="none"/>
              </w:rPr>
              <w:t>设计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</w:rPr>
              <w:t>业绩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  <w:lang w:val="en-US" w:eastAsia="zh-CN"/>
              </w:rPr>
              <w:t>得5分，每增加1项业绩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</w:rPr>
              <w:t>得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  <w:lang w:val="en-US" w:eastAsia="zh-CN"/>
              </w:rPr>
              <w:t>5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</w:rPr>
              <w:t>分，最高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  <w:lang w:val="en-US" w:eastAsia="zh-CN"/>
              </w:rPr>
              <w:t>20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</w:rPr>
              <w:t>分。（提供合同或中标通知书扫描件并加盖公章）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078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Calibri" w:hAnsi="Calibri" w:eastAsia="宋体" w:cs="Times New Roman"/>
                <w:color w:val="0000FF"/>
                <w:sz w:val="22"/>
                <w:szCs w:val="22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Calibri" w:hAnsi="Calibri" w:eastAsia="宋体" w:cs="Times New Roman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2"/>
                <w:highlight w:val="none"/>
              </w:rPr>
              <w:t>项目管理人员构成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Calibri" w:hAnsi="Calibri" w:eastAsia="宋体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60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sz w:val="22"/>
                <w:szCs w:val="28"/>
                <w:highlight w:val="none"/>
                <w:lang w:eastAsia="zh-CN"/>
              </w:rPr>
              <w:t>单位管理人员体系健全，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  <w:lang w:val="en-US" w:eastAsia="zh-CN"/>
              </w:rPr>
              <w:t>配备建筑、结构、给排水、电气、园林绿化专业设计人员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  <w:lang w:val="en-US" w:eastAsia="zh-CN"/>
              </w:rPr>
              <w:t xml:space="preserve">配备1种专业得1分，最高得5分 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078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Calibri" w:hAnsi="Calibri" w:eastAsia="宋体" w:cs="Times New Roman"/>
                <w:color w:val="0000FF"/>
                <w:sz w:val="22"/>
                <w:szCs w:val="22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Calibri" w:hAnsi="Calibri" w:eastAsia="宋体" w:cs="Times New Roman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</w:rPr>
              <w:t>技术力量</w:t>
            </w:r>
          </w:p>
        </w:tc>
        <w:tc>
          <w:tcPr>
            <w:tcW w:w="72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5</w:t>
            </w:r>
          </w:p>
        </w:tc>
        <w:tc>
          <w:tcPr>
            <w:tcW w:w="60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/>
                <w:color w:val="auto"/>
                <w:sz w:val="22"/>
                <w:szCs w:val="2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22"/>
                <w:szCs w:val="28"/>
                <w:highlight w:val="none"/>
              </w:rPr>
              <w:t>项目负责人持有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  <w:lang w:val="en-US" w:eastAsia="zh-CN"/>
              </w:rPr>
              <w:t>注册高级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</w:rPr>
              <w:t>职称证书得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  <w:lang w:val="en-US" w:eastAsia="zh-CN"/>
              </w:rPr>
              <w:t>5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</w:rPr>
              <w:t>分；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  <w:lang w:val="en-US" w:eastAsia="zh-CN"/>
              </w:rPr>
              <w:t>注册中级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</w:rPr>
              <w:t>职称证书得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22"/>
                <w:szCs w:val="28"/>
                <w:highlight w:val="none"/>
              </w:rPr>
              <w:t>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78" w:type="dxa"/>
            <w:vMerge w:val="restar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Calibri" w:hAnsi="Calibri" w:eastAsia="宋体" w:cs="Times New Roman"/>
                <w:color w:val="0000FF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Calibri" w:hAnsi="Calibri" w:eastAsia="宋体" w:cs="Times New Roman"/>
                <w:color w:val="0000FF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Calibri" w:hAnsi="Calibri" w:eastAsia="宋体" w:cs="Times New Roman"/>
                <w:color w:val="0000FF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Calibri" w:hAnsi="Calibri" w:eastAsia="宋体" w:cs="Times New Roman"/>
                <w:color w:val="0000FF"/>
                <w:sz w:val="22"/>
                <w:szCs w:val="2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2"/>
              </w:rPr>
              <w:t>技术部分（</w:t>
            </w:r>
            <w:r>
              <w:rPr>
                <w:rFonts w:hint="eastAsia" w:ascii="Calibri" w:hAnsi="Calibri" w:eastAsia="宋体" w:cs="Times New Roman"/>
                <w:color w:val="auto"/>
                <w:sz w:val="22"/>
                <w:szCs w:val="22"/>
                <w:lang w:val="en-US" w:eastAsia="zh-CN"/>
              </w:rPr>
              <w:t>50</w:t>
            </w:r>
            <w:r>
              <w:rPr>
                <w:rFonts w:hint="eastAsia" w:ascii="Calibri" w:hAnsi="Calibri" w:eastAsia="宋体" w:cs="Times New Roman"/>
                <w:color w:val="auto"/>
                <w:sz w:val="22"/>
                <w:szCs w:val="22"/>
              </w:rPr>
              <w:t>）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 xml:space="preserve">对本项目情况分析 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60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default" w:eastAsiaTheme="minorEastAsia"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eastAsia="zh-CN"/>
              </w:rPr>
              <w:t>项目需要有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eastAsia="zh-CN"/>
              </w:rPr>
              <w:t>区位分析、总平面图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eastAsia="zh-CN"/>
              </w:rPr>
              <w:t>、交通流线分析，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对本项目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具体情况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分析准确，设计合理可行得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0-10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078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Calibri" w:hAnsi="Calibri" w:eastAsia="宋体" w:cs="Times New Roman"/>
                <w:color w:val="0000FF"/>
                <w:sz w:val="22"/>
                <w:szCs w:val="22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房屋外立面方案及效果图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10</w:t>
            </w:r>
          </w:p>
        </w:tc>
        <w:tc>
          <w:tcPr>
            <w:tcW w:w="60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根据项目要求设计房屋外立面方案及效果图，设计合理的得5-10分，设计基本合理得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-5分。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1078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Calibri" w:hAnsi="Calibri" w:eastAsia="宋体" w:cs="Times New Roman"/>
                <w:color w:val="0000FF"/>
                <w:sz w:val="22"/>
                <w:szCs w:val="22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景区大门方案及效果图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10</w:t>
            </w:r>
          </w:p>
        </w:tc>
        <w:tc>
          <w:tcPr>
            <w:tcW w:w="60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根据项目要求设计景区大门方案及效果图，设计合理的得5-10分，设计基本合理得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-5分。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078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Calibri" w:hAnsi="Calibri" w:eastAsia="宋体" w:cs="Times New Roman"/>
                <w:color w:val="0000FF"/>
                <w:sz w:val="22"/>
                <w:szCs w:val="22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精神堡垒方案及效果图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10</w:t>
            </w:r>
          </w:p>
        </w:tc>
        <w:tc>
          <w:tcPr>
            <w:tcW w:w="60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根据项目要求设计精神堡垒方案及效果图，设计合理的得5-10分，设计基本合理得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-5分。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078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Calibri" w:hAnsi="Calibri" w:eastAsia="宋体" w:cs="Times New Roman"/>
                <w:color w:val="0000FF"/>
                <w:sz w:val="22"/>
                <w:szCs w:val="22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整体景观方案及效果图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10</w:t>
            </w:r>
          </w:p>
        </w:tc>
        <w:tc>
          <w:tcPr>
            <w:tcW w:w="60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根据项目要求设计景观平面方案及效果图，设计合理的得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-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分，基本合理得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-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A6DD0"/>
    <w:rsid w:val="132064AF"/>
    <w:rsid w:val="65AA6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1"/>
    <w:basedOn w:val="2"/>
    <w:qFormat/>
    <w:uiPriority w:val="59"/>
    <w:rPr>
      <w:rFonts w:ascii="Calibri" w:hAnsi="Calibri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szCs w:val="22"/>
      <w:lang w:val="zh-CN" w:bidi="zh-CN"/>
    </w:rPr>
  </w:style>
  <w:style w:type="paragraph" w:customStyle="1" w:styleId="6">
    <w:name w:val="表格文字"/>
    <w:qFormat/>
    <w:uiPriority w:val="0"/>
    <w:pPr>
      <w:widowControl w:val="0"/>
      <w:adjustRightInd w:val="0"/>
      <w:textAlignment w:val="baseline"/>
    </w:pPr>
    <w:rPr>
      <w:rFonts w:ascii="宋体" w:hAnsi="宋体" w:eastAsia="宋体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2021-03-17T06:17:00Z</dcterms:created>
  <dc:creator>lenovo</dc:creator>
  <cp:lastModifiedBy>lenovo</cp:lastModifiedBy>
  <dcterms:modified xsi:type="dcterms:W3CDTF">2021-03-17T06:53:19Z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